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bCs/>
          <w:kern w:val="0"/>
          <w:sz w:val="44"/>
          <w:szCs w:val="44"/>
        </w:rPr>
      </w:pPr>
      <w:r>
        <w:rPr>
          <w:rFonts w:eastAsia="方正小标宋简体"/>
          <w:bCs/>
          <w:kern w:val="0"/>
          <w:sz w:val="44"/>
          <w:szCs w:val="44"/>
        </w:rPr>
        <w:t>桃江县20</w:t>
      </w:r>
      <w:r>
        <w:rPr>
          <w:rFonts w:hint="eastAsia" w:eastAsia="方正小标宋简体"/>
          <w:bCs/>
          <w:kern w:val="0"/>
          <w:sz w:val="44"/>
          <w:szCs w:val="44"/>
        </w:rPr>
        <w:t>20</w:t>
      </w:r>
      <w:r>
        <w:rPr>
          <w:rFonts w:eastAsia="方正小标宋简体"/>
          <w:bCs/>
          <w:kern w:val="0"/>
          <w:sz w:val="44"/>
          <w:szCs w:val="44"/>
        </w:rPr>
        <w:t>年度部门整体支出绩效评价指标及评分表</w:t>
      </w:r>
    </w:p>
    <w:p>
      <w:pPr>
        <w:widowControl/>
        <w:jc w:val="left"/>
        <w:rPr>
          <w:rFonts w:eastAsia="宋体"/>
          <w:kern w:val="0"/>
          <w:sz w:val="24"/>
        </w:rPr>
      </w:pPr>
      <w:r>
        <w:rPr>
          <w:rFonts w:eastAsia="宋体"/>
          <w:kern w:val="0"/>
          <w:sz w:val="24"/>
        </w:rPr>
        <w:t>评价单位（盖章）：</w:t>
      </w:r>
      <w:r>
        <w:rPr>
          <w:rFonts w:hint="eastAsia" w:eastAsia="宋体"/>
          <w:kern w:val="0"/>
          <w:sz w:val="24"/>
          <w:lang w:eastAsia="zh-CN"/>
        </w:rPr>
        <w:t>石牛江镇人民政府</w:t>
      </w:r>
      <w:r>
        <w:rPr>
          <w:rFonts w:eastAsia="宋体"/>
          <w:kern w:val="0"/>
          <w:sz w:val="24"/>
        </w:rPr>
        <w:t xml:space="preserve">                                                       填报日期：</w:t>
      </w:r>
      <w:r>
        <w:rPr>
          <w:rFonts w:hint="eastAsia" w:eastAsia="宋体"/>
          <w:kern w:val="0"/>
          <w:sz w:val="24"/>
          <w:lang w:val="en-US" w:eastAsia="zh-CN"/>
        </w:rPr>
        <w:t>2021</w:t>
      </w:r>
      <w:r>
        <w:rPr>
          <w:rFonts w:eastAsia="宋体"/>
          <w:kern w:val="0"/>
          <w:sz w:val="24"/>
        </w:rPr>
        <w:t xml:space="preserve">年 </w:t>
      </w:r>
      <w:r>
        <w:rPr>
          <w:rFonts w:hint="eastAsia" w:eastAsia="宋体"/>
          <w:kern w:val="0"/>
          <w:sz w:val="24"/>
          <w:lang w:val="en-US" w:eastAsia="zh-CN"/>
        </w:rPr>
        <w:t>4</w:t>
      </w:r>
      <w:r>
        <w:rPr>
          <w:rFonts w:eastAsia="宋体"/>
          <w:kern w:val="0"/>
          <w:sz w:val="24"/>
        </w:rPr>
        <w:t xml:space="preserve">月 </w:t>
      </w:r>
      <w:r>
        <w:rPr>
          <w:rFonts w:hint="eastAsia" w:eastAsia="宋体"/>
          <w:kern w:val="0"/>
          <w:sz w:val="24"/>
          <w:lang w:val="en-US" w:eastAsia="zh-CN"/>
        </w:rPr>
        <w:t>10</w:t>
      </w:r>
      <w:r>
        <w:rPr>
          <w:rFonts w:eastAsia="宋体"/>
          <w:kern w:val="0"/>
          <w:sz w:val="24"/>
        </w:rPr>
        <w:t>日</w:t>
      </w:r>
    </w:p>
    <w:tbl>
      <w:tblPr>
        <w:tblStyle w:val="2"/>
        <w:tblW w:w="15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pPr>
              <w:widowControl/>
              <w:spacing w:line="300" w:lineRule="exact"/>
              <w:jc w:val="center"/>
              <w:rPr>
                <w:rFonts w:hint="eastAsia" w:eastAsia="黑体"/>
                <w:bCs/>
                <w:kern w:val="0"/>
                <w:sz w:val="24"/>
              </w:rPr>
            </w:pPr>
            <w:r>
              <w:rPr>
                <w:rFonts w:eastAsia="黑体"/>
                <w:bCs/>
                <w:kern w:val="0"/>
                <w:sz w:val="24"/>
              </w:rPr>
              <w:t>一级</w:t>
            </w:r>
          </w:p>
          <w:p>
            <w:pPr>
              <w:widowControl/>
              <w:spacing w:line="300" w:lineRule="exact"/>
              <w:jc w:val="center"/>
              <w:rPr>
                <w:rFonts w:eastAsia="黑体"/>
                <w:bCs/>
                <w:kern w:val="0"/>
                <w:sz w:val="24"/>
              </w:rPr>
            </w:pPr>
            <w:r>
              <w:rPr>
                <w:rFonts w:eastAsia="黑体"/>
                <w:bCs/>
                <w:kern w:val="0"/>
                <w:sz w:val="24"/>
              </w:rPr>
              <w:t>指标</w:t>
            </w:r>
          </w:p>
        </w:tc>
        <w:tc>
          <w:tcPr>
            <w:tcW w:w="1065" w:type="dxa"/>
            <w:noWrap w:val="0"/>
            <w:vAlign w:val="center"/>
          </w:tcPr>
          <w:p>
            <w:pPr>
              <w:widowControl/>
              <w:spacing w:line="300" w:lineRule="exact"/>
              <w:jc w:val="center"/>
              <w:rPr>
                <w:rFonts w:eastAsia="黑体"/>
                <w:bCs/>
                <w:kern w:val="0"/>
                <w:sz w:val="24"/>
              </w:rPr>
            </w:pPr>
            <w:r>
              <w:rPr>
                <w:rFonts w:eastAsia="黑体"/>
                <w:bCs/>
                <w:kern w:val="0"/>
                <w:sz w:val="24"/>
              </w:rPr>
              <w:t>二级</w:t>
            </w:r>
          </w:p>
          <w:p>
            <w:pPr>
              <w:widowControl/>
              <w:spacing w:line="300" w:lineRule="exact"/>
              <w:jc w:val="center"/>
              <w:rPr>
                <w:rFonts w:eastAsia="黑体"/>
                <w:bCs/>
                <w:kern w:val="0"/>
                <w:sz w:val="24"/>
              </w:rPr>
            </w:pPr>
            <w:r>
              <w:rPr>
                <w:rFonts w:eastAsia="黑体"/>
                <w:bCs/>
                <w:kern w:val="0"/>
                <w:sz w:val="24"/>
              </w:rPr>
              <w:t>指标</w:t>
            </w:r>
          </w:p>
        </w:tc>
        <w:tc>
          <w:tcPr>
            <w:tcW w:w="1410" w:type="dxa"/>
            <w:noWrap w:val="0"/>
            <w:vAlign w:val="center"/>
          </w:tcPr>
          <w:p>
            <w:pPr>
              <w:widowControl/>
              <w:spacing w:line="300" w:lineRule="exact"/>
              <w:jc w:val="center"/>
              <w:rPr>
                <w:rFonts w:eastAsia="黑体"/>
                <w:bCs/>
                <w:kern w:val="0"/>
                <w:sz w:val="24"/>
              </w:rPr>
            </w:pPr>
            <w:r>
              <w:rPr>
                <w:rFonts w:eastAsia="黑体"/>
                <w:bCs/>
                <w:kern w:val="0"/>
                <w:sz w:val="24"/>
              </w:rPr>
              <w:t>三级</w:t>
            </w:r>
          </w:p>
          <w:p>
            <w:pPr>
              <w:widowControl/>
              <w:spacing w:line="300" w:lineRule="exact"/>
              <w:jc w:val="center"/>
              <w:rPr>
                <w:rFonts w:eastAsia="黑体"/>
                <w:bCs/>
                <w:kern w:val="0"/>
                <w:sz w:val="24"/>
              </w:rPr>
            </w:pPr>
            <w:r>
              <w:rPr>
                <w:rFonts w:eastAsia="黑体"/>
                <w:bCs/>
                <w:kern w:val="0"/>
                <w:sz w:val="24"/>
              </w:rPr>
              <w:t>指标</w:t>
            </w:r>
          </w:p>
        </w:tc>
        <w:tc>
          <w:tcPr>
            <w:tcW w:w="4341" w:type="dxa"/>
            <w:noWrap w:val="0"/>
            <w:vAlign w:val="center"/>
          </w:tcPr>
          <w:p>
            <w:pPr>
              <w:widowControl/>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pPr>
              <w:widowControl/>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pPr>
              <w:widowControl/>
              <w:spacing w:line="300" w:lineRule="exact"/>
              <w:jc w:val="center"/>
              <w:rPr>
                <w:rFonts w:eastAsia="黑体"/>
                <w:bCs/>
                <w:kern w:val="0"/>
                <w:sz w:val="24"/>
              </w:rPr>
            </w:pPr>
            <w:r>
              <w:rPr>
                <w:rFonts w:eastAsia="黑体"/>
                <w:bCs/>
                <w:kern w:val="0"/>
                <w:sz w:val="24"/>
              </w:rPr>
              <w:t>分值</w:t>
            </w:r>
          </w:p>
        </w:tc>
        <w:tc>
          <w:tcPr>
            <w:tcW w:w="795" w:type="dxa"/>
            <w:noWrap w:val="0"/>
            <w:vAlign w:val="center"/>
          </w:tcPr>
          <w:p>
            <w:pPr>
              <w:widowControl/>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pPr>
              <w:widowControl/>
              <w:spacing w:line="30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投入</w:t>
            </w:r>
            <w:r>
              <w:rPr>
                <w:rFonts w:eastAsia="宋体"/>
                <w:kern w:val="0"/>
                <w:sz w:val="24"/>
              </w:rPr>
              <w:br w:type="textWrapping"/>
            </w: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pPr>
              <w:widowControl/>
              <w:spacing w:line="300" w:lineRule="exact"/>
              <w:jc w:val="center"/>
              <w:rPr>
                <w:rFonts w:eastAsia="宋体"/>
                <w:kern w:val="0"/>
                <w:sz w:val="24"/>
              </w:rPr>
            </w:pPr>
            <w:r>
              <w:rPr>
                <w:rFonts w:eastAsia="宋体"/>
                <w:kern w:val="0"/>
                <w:sz w:val="24"/>
              </w:rPr>
              <w:t xml:space="preserve">设定 </w:t>
            </w:r>
          </w:p>
          <w:p>
            <w:pPr>
              <w:widowControl/>
              <w:spacing w:line="300" w:lineRule="exact"/>
              <w:jc w:val="center"/>
              <w:rPr>
                <w:rFonts w:eastAsia="宋体"/>
                <w:kern w:val="0"/>
                <w:sz w:val="24"/>
              </w:rPr>
            </w:pPr>
            <w:r>
              <w:rPr>
                <w:rFonts w:eastAsia="宋体"/>
                <w:kern w:val="0"/>
                <w:sz w:val="24"/>
              </w:rPr>
              <w:t>目标</w:t>
            </w:r>
          </w:p>
          <w:p>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pPr>
              <w:widowControl/>
              <w:spacing w:line="310" w:lineRule="exact"/>
              <w:jc w:val="center"/>
              <w:rPr>
                <w:rFonts w:eastAsia="宋体"/>
                <w:kern w:val="0"/>
                <w:sz w:val="24"/>
              </w:rPr>
            </w:pPr>
            <w:r>
              <w:rPr>
                <w:rFonts w:eastAsia="宋体"/>
                <w:kern w:val="0"/>
                <w:sz w:val="24"/>
              </w:rPr>
              <w:t>绩效目标合理性</w:t>
            </w:r>
          </w:p>
          <w:p>
            <w:pPr>
              <w:widowControl/>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pPr>
              <w:widowControl/>
              <w:spacing w:line="310" w:lineRule="exact"/>
              <w:jc w:val="center"/>
              <w:rPr>
                <w:rFonts w:eastAsia="宋体"/>
                <w:kern w:val="0"/>
                <w:sz w:val="24"/>
              </w:rPr>
            </w:pPr>
          </w:p>
        </w:tc>
        <w:tc>
          <w:tcPr>
            <w:tcW w:w="4341" w:type="dxa"/>
            <w:vMerge w:val="restart"/>
            <w:noWrap w:val="0"/>
            <w:vAlign w:val="center"/>
          </w:tcPr>
          <w:p>
            <w:pPr>
              <w:widowControl/>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pPr>
              <w:widowControl/>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b/>
                <w:bCs/>
                <w:kern w:val="0"/>
                <w:sz w:val="24"/>
                <w:lang w:val="en-US" w:eastAsia="zh-CN"/>
              </w:rPr>
            </w:pPr>
            <w:r>
              <w:rPr>
                <w:rFonts w:hint="eastAsia" w:eastAsia="宋体"/>
                <w:b w:val="0"/>
                <w:bCs w:val="0"/>
                <w:kern w:val="0"/>
                <w:sz w:val="24"/>
                <w:lang w:val="en-US" w:eastAsia="zh-CN"/>
              </w:rPr>
              <w:t>1</w:t>
            </w:r>
          </w:p>
        </w:tc>
        <w:tc>
          <w:tcPr>
            <w:tcW w:w="735" w:type="dxa"/>
            <w:noWrap w:val="0"/>
            <w:vAlign w:val="center"/>
          </w:tcPr>
          <w:p>
            <w:pPr>
              <w:widowControl/>
              <w:spacing w:line="300" w:lineRule="exact"/>
              <w:jc w:val="center"/>
              <w:rPr>
                <w:rFonts w:eastAsia="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restart"/>
            <w:noWrap w:val="0"/>
            <w:vAlign w:val="center"/>
          </w:tcPr>
          <w:p>
            <w:pPr>
              <w:widowControl/>
              <w:spacing w:line="310" w:lineRule="exact"/>
              <w:jc w:val="left"/>
              <w:rPr>
                <w:rFonts w:eastAsia="宋体"/>
                <w:kern w:val="0"/>
                <w:sz w:val="24"/>
              </w:rPr>
            </w:pPr>
            <w:r>
              <w:rPr>
                <w:rFonts w:eastAsia="宋体"/>
                <w:kern w:val="0"/>
                <w:sz w:val="24"/>
              </w:rPr>
              <w:t>绩效指标明确性</w:t>
            </w:r>
            <w:r>
              <w:rPr>
                <w:rFonts w:eastAsia="宋体"/>
                <w:kern w:val="0"/>
                <w:sz w:val="24"/>
              </w:rPr>
              <w:br w:type="textWrapping"/>
            </w: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pPr>
              <w:widowControl/>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pPr>
              <w:widowControl/>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restart"/>
            <w:noWrap w:val="0"/>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配置</w:t>
            </w:r>
          </w:p>
          <w:p>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pPr>
              <w:widowControl/>
              <w:spacing w:line="310" w:lineRule="exact"/>
              <w:jc w:val="center"/>
              <w:rPr>
                <w:rFonts w:eastAsia="宋体"/>
                <w:kern w:val="0"/>
                <w:sz w:val="24"/>
              </w:rPr>
            </w:pPr>
            <w:r>
              <w:rPr>
                <w:rFonts w:eastAsia="宋体"/>
                <w:kern w:val="0"/>
                <w:sz w:val="24"/>
              </w:rPr>
              <w:t>在职人员控制率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pPr>
              <w:widowControl/>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10" w:lineRule="exact"/>
              <w:ind w:left="240" w:hanging="240" w:hangingChars="100"/>
              <w:jc w:val="left"/>
              <w:rPr>
                <w:rFonts w:eastAsia="宋体"/>
                <w:kern w:val="0"/>
                <w:sz w:val="24"/>
              </w:rPr>
            </w:pPr>
            <w:r>
              <w:rPr>
                <w:rFonts w:eastAsia="宋体"/>
                <w:kern w:val="0"/>
                <w:sz w:val="24"/>
              </w:rPr>
              <w:t>“三公经费”变动率</w:t>
            </w:r>
          </w:p>
          <w:p>
            <w:pPr>
              <w:widowControl/>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pPr>
              <w:widowControl/>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10" w:lineRule="exact"/>
              <w:jc w:val="center"/>
              <w:rPr>
                <w:rFonts w:eastAsia="宋体"/>
                <w:kern w:val="0"/>
                <w:sz w:val="24"/>
              </w:rPr>
            </w:pPr>
            <w:r>
              <w:rPr>
                <w:rFonts w:eastAsia="宋体"/>
                <w:kern w:val="0"/>
                <w:sz w:val="24"/>
              </w:rPr>
              <w:t>重点支出安排率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pPr>
              <w:widowControl/>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widowControl/>
              <w:spacing w:line="300" w:lineRule="exact"/>
              <w:jc w:val="center"/>
              <w:rPr>
                <w:rFonts w:eastAsia="宋体"/>
                <w:kern w:val="0"/>
                <w:sz w:val="24"/>
              </w:rPr>
            </w:pPr>
            <w:r>
              <w:rPr>
                <w:rFonts w:eastAsia="宋体"/>
                <w:kern w:val="0"/>
                <w:sz w:val="24"/>
              </w:rPr>
              <w:t>过程</w:t>
            </w:r>
          </w:p>
          <w:p>
            <w:pPr>
              <w:widowControl/>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pPr>
              <w:widowControl/>
              <w:spacing w:line="300" w:lineRule="exact"/>
              <w:jc w:val="center"/>
              <w:rPr>
                <w:rFonts w:eastAsia="宋体"/>
                <w:kern w:val="0"/>
                <w:sz w:val="24"/>
              </w:rPr>
            </w:pPr>
          </w:p>
        </w:tc>
        <w:tc>
          <w:tcPr>
            <w:tcW w:w="1065" w:type="dxa"/>
            <w:vMerge w:val="restart"/>
            <w:noWrap w:val="0"/>
            <w:vAlign w:val="center"/>
          </w:tcPr>
          <w:p>
            <w:pPr>
              <w:widowControl/>
              <w:spacing w:line="300" w:lineRule="exact"/>
              <w:jc w:val="center"/>
              <w:rPr>
                <w:rFonts w:eastAsia="宋体"/>
                <w:kern w:val="0"/>
                <w:sz w:val="21"/>
                <w:szCs w:val="21"/>
              </w:rPr>
            </w:pPr>
            <w:r>
              <w:rPr>
                <w:rFonts w:eastAsia="宋体"/>
                <w:kern w:val="0"/>
                <w:sz w:val="24"/>
              </w:rPr>
              <w:t>预算</w:t>
            </w:r>
            <w:r>
              <w:rPr>
                <w:rFonts w:eastAsia="宋体"/>
                <w:kern w:val="0"/>
                <w:sz w:val="24"/>
              </w:rPr>
              <w:br w:type="textWrapping"/>
            </w:r>
            <w:r>
              <w:rPr>
                <w:rFonts w:eastAsia="宋体"/>
                <w:kern w:val="0"/>
                <w:sz w:val="24"/>
              </w:rPr>
              <w:t>执行</w:t>
            </w:r>
            <w:r>
              <w:rPr>
                <w:rFonts w:eastAsia="宋体"/>
                <w:kern w:val="0"/>
                <w:sz w:val="24"/>
              </w:rPr>
              <w:br w:type="textWrapping"/>
            </w:r>
            <w:r>
              <w:rPr>
                <w:rFonts w:eastAsia="宋体"/>
                <w:kern w:val="0"/>
                <w:sz w:val="21"/>
                <w:szCs w:val="21"/>
              </w:rPr>
              <w:t>（</w:t>
            </w:r>
            <w:r>
              <w:rPr>
                <w:rFonts w:hint="eastAsia" w:eastAsia="宋体"/>
                <w:kern w:val="0"/>
                <w:sz w:val="21"/>
                <w:szCs w:val="21"/>
              </w:rPr>
              <w:t>10</w:t>
            </w:r>
            <w:r>
              <w:rPr>
                <w:rFonts w:eastAsia="宋体"/>
                <w:kern w:val="0"/>
                <w:sz w:val="21"/>
                <w:szCs w:val="21"/>
              </w:rPr>
              <w:t>分）</w:t>
            </w:r>
          </w:p>
          <w:p>
            <w:pPr>
              <w:widowControl/>
              <w:spacing w:line="300" w:lineRule="exact"/>
              <w:jc w:val="center"/>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pPr>
              <w:widowControl/>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调整率</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pPr>
              <w:widowControl/>
              <w:spacing w:line="300" w:lineRule="exact"/>
              <w:rPr>
                <w:rFonts w:eastAsia="宋体"/>
                <w:spacing w:val="-6"/>
                <w:kern w:val="0"/>
                <w:sz w:val="24"/>
              </w:rPr>
            </w:pPr>
            <w:r>
              <w:rPr>
                <w:rFonts w:eastAsia="宋体"/>
                <w:spacing w:val="-6"/>
                <w:kern w:val="0"/>
                <w:sz w:val="24"/>
              </w:rPr>
              <w:t>部门本年度预算调整数（因落实国家政政策、发生不可抗力、上级部门或县委县政府临时交办而产生的调整除外）与预算数的比率，反映部门预算的调整程度。</w:t>
            </w:r>
          </w:p>
        </w:tc>
        <w:tc>
          <w:tcPr>
            <w:tcW w:w="5899" w:type="dxa"/>
            <w:noWrap w:val="0"/>
            <w:vAlign w:val="center"/>
          </w:tcPr>
          <w:p>
            <w:pPr>
              <w:widowControl/>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3</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支付</w:t>
            </w:r>
            <w:r>
              <w:rPr>
                <w:rFonts w:eastAsia="宋体"/>
                <w:kern w:val="0"/>
                <w:sz w:val="24"/>
              </w:rPr>
              <w:br w:type="textWrapping"/>
            </w:r>
            <w:r>
              <w:rPr>
                <w:rFonts w:eastAsia="宋体"/>
                <w:kern w:val="0"/>
                <w:sz w:val="24"/>
              </w:rPr>
              <w:t>进度率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pPr>
              <w:widowControl/>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center"/>
              <w:rPr>
                <w:rFonts w:eastAsia="宋体"/>
                <w:kern w:val="0"/>
                <w:sz w:val="24"/>
              </w:rPr>
            </w:pPr>
          </w:p>
        </w:tc>
        <w:tc>
          <w:tcPr>
            <w:tcW w:w="1065" w:type="dxa"/>
            <w:vMerge w:val="continue"/>
            <w:noWrap w:val="0"/>
            <w:vAlign w:val="center"/>
          </w:tcPr>
          <w:p>
            <w:pPr>
              <w:widowControl/>
              <w:spacing w:line="300" w:lineRule="exact"/>
              <w:jc w:val="center"/>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结 转</w:t>
            </w:r>
            <w:r>
              <w:rPr>
                <w:rFonts w:eastAsia="宋体"/>
                <w:kern w:val="0"/>
                <w:sz w:val="24"/>
              </w:rPr>
              <w:br w:type="textWrapping"/>
            </w:r>
            <w:r>
              <w:rPr>
                <w:rFonts w:eastAsia="宋体"/>
                <w:kern w:val="0"/>
                <w:sz w:val="24"/>
              </w:rPr>
              <w:t>结余率</w:t>
            </w:r>
            <w:r>
              <w:rPr>
                <w:rFonts w:eastAsia="宋体"/>
                <w:kern w:val="0"/>
                <w:sz w:val="24"/>
              </w:rPr>
              <w:br w:type="textWrapping"/>
            </w:r>
            <w:r>
              <w:rPr>
                <w:rFonts w:eastAsia="宋体"/>
                <w:kern w:val="0"/>
                <w:sz w:val="24"/>
              </w:rPr>
              <w:t>（1分）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pPr>
              <w:widowControl/>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pPr>
              <w:widowControl/>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三公经费控制率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pPr>
              <w:widowControl/>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政府采购执行率</w:t>
            </w:r>
            <w:r>
              <w:rPr>
                <w:rFonts w:eastAsia="宋体"/>
                <w:kern w:val="0"/>
                <w:sz w:val="24"/>
              </w:rPr>
              <w:br w:type="textWrapping"/>
            </w:r>
            <w:r>
              <w:rPr>
                <w:rFonts w:eastAsia="宋体"/>
                <w:kern w:val="0"/>
                <w:sz w:val="24"/>
              </w:rPr>
              <w:t>（1分）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pPr>
              <w:widowControl/>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投资评审执行率</w:t>
            </w:r>
          </w:p>
          <w:p>
            <w:pPr>
              <w:widowControl/>
              <w:spacing w:line="300" w:lineRule="exact"/>
              <w:jc w:val="center"/>
              <w:rPr>
                <w:rFonts w:eastAsia="宋体"/>
                <w:kern w:val="0"/>
                <w:sz w:val="24"/>
              </w:rPr>
            </w:pPr>
            <w:r>
              <w:rPr>
                <w:rFonts w:eastAsia="宋体"/>
                <w:kern w:val="0"/>
                <w:sz w:val="24"/>
              </w:rPr>
              <w:t>（1分）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pPr>
              <w:widowControl/>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pPr>
              <w:widowControl/>
              <w:spacing w:line="300" w:lineRule="exact"/>
              <w:jc w:val="center"/>
              <w:rPr>
                <w:rFonts w:eastAsia="宋体"/>
                <w:kern w:val="0"/>
                <w:sz w:val="24"/>
              </w:rPr>
            </w:pPr>
          </w:p>
          <w:p>
            <w:pPr>
              <w:widowControl/>
              <w:spacing w:line="300" w:lineRule="exact"/>
              <w:jc w:val="center"/>
              <w:rPr>
                <w:rFonts w:eastAsia="宋体"/>
                <w:kern w:val="0"/>
                <w:sz w:val="24"/>
              </w:rPr>
            </w:pPr>
            <w:r>
              <w:rPr>
                <w:rFonts w:eastAsia="宋体"/>
                <w:kern w:val="0"/>
                <w:sz w:val="24"/>
              </w:rPr>
              <w:t>过程</w:t>
            </w:r>
          </w:p>
          <w:p>
            <w:pPr>
              <w:widowControl/>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pPr>
              <w:widowControl/>
              <w:spacing w:line="300" w:lineRule="exact"/>
              <w:jc w:val="center"/>
              <w:rPr>
                <w:rFonts w:eastAsia="宋体"/>
                <w:kern w:val="0"/>
                <w:sz w:val="24"/>
              </w:rPr>
            </w:pPr>
          </w:p>
        </w:tc>
        <w:tc>
          <w:tcPr>
            <w:tcW w:w="1065" w:type="dxa"/>
            <w:vMerge w:val="restart"/>
            <w:noWrap w:val="0"/>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管理</w:t>
            </w:r>
            <w:r>
              <w:rPr>
                <w:rFonts w:eastAsia="宋体"/>
                <w:kern w:val="0"/>
                <w:sz w:val="24"/>
              </w:rPr>
              <w:br w:type="textWrapping"/>
            </w: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pPr>
              <w:widowControl/>
              <w:spacing w:line="300" w:lineRule="exact"/>
              <w:jc w:val="center"/>
              <w:rPr>
                <w:rFonts w:eastAsia="宋体"/>
                <w:kern w:val="0"/>
                <w:sz w:val="24"/>
              </w:rPr>
            </w:pPr>
            <w:r>
              <w:rPr>
                <w:rFonts w:eastAsia="宋体"/>
                <w:kern w:val="0"/>
                <w:sz w:val="24"/>
              </w:rPr>
              <w:t>制度管理</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pPr>
              <w:widowControl/>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pPr>
              <w:widowControl/>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4、制度执行机构是否健全；</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restart"/>
            <w:noWrap w:val="0"/>
            <w:vAlign w:val="center"/>
          </w:tcPr>
          <w:p>
            <w:pPr>
              <w:widowControl/>
              <w:spacing w:line="300" w:lineRule="exact"/>
              <w:jc w:val="center"/>
              <w:rPr>
                <w:rFonts w:eastAsia="宋体"/>
                <w:kern w:val="0"/>
                <w:sz w:val="24"/>
              </w:rPr>
            </w:pPr>
            <w:r>
              <w:rPr>
                <w:rFonts w:eastAsia="宋体"/>
                <w:kern w:val="0"/>
                <w:sz w:val="24"/>
              </w:rPr>
              <w:t>资金管理</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pPr>
              <w:widowControl/>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pPr>
              <w:widowControl/>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center"/>
              <w:rPr>
                <w:rFonts w:eastAsia="宋体"/>
                <w:kern w:val="0"/>
                <w:sz w:val="24"/>
              </w:rPr>
            </w:pPr>
          </w:p>
        </w:tc>
        <w:tc>
          <w:tcPr>
            <w:tcW w:w="1065" w:type="dxa"/>
            <w:vMerge w:val="continue"/>
            <w:noWrap w:val="0"/>
            <w:vAlign w:val="center"/>
          </w:tcPr>
          <w:p>
            <w:pPr>
              <w:widowControl/>
              <w:spacing w:line="300" w:lineRule="exact"/>
              <w:jc w:val="center"/>
              <w:rPr>
                <w:rFonts w:eastAsia="宋体"/>
                <w:color w:val="FF0000"/>
                <w:kern w:val="0"/>
                <w:sz w:val="24"/>
              </w:rPr>
            </w:pPr>
          </w:p>
        </w:tc>
        <w:tc>
          <w:tcPr>
            <w:tcW w:w="1410" w:type="dxa"/>
            <w:vMerge w:val="restart"/>
            <w:noWrap w:val="0"/>
            <w:vAlign w:val="center"/>
          </w:tcPr>
          <w:p>
            <w:pPr>
              <w:spacing w:line="280" w:lineRule="exact"/>
              <w:jc w:val="center"/>
              <w:rPr>
                <w:rFonts w:eastAsia="宋体"/>
                <w:bCs/>
                <w:sz w:val="24"/>
              </w:rPr>
            </w:pPr>
            <w:r>
              <w:rPr>
                <w:rFonts w:eastAsia="宋体"/>
                <w:bCs/>
                <w:sz w:val="24"/>
              </w:rPr>
              <w:t>绩效管理</w:t>
            </w:r>
          </w:p>
          <w:p>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restart"/>
            <w:noWrap w:val="0"/>
            <w:vAlign w:val="center"/>
          </w:tcPr>
          <w:p>
            <w:pPr>
              <w:widowControl/>
              <w:spacing w:line="300" w:lineRule="exact"/>
              <w:jc w:val="center"/>
              <w:rPr>
                <w:rFonts w:eastAsia="宋体"/>
                <w:kern w:val="0"/>
                <w:sz w:val="24"/>
              </w:rPr>
            </w:pPr>
            <w:r>
              <w:rPr>
                <w:rFonts w:eastAsia="宋体"/>
                <w:kern w:val="0"/>
                <w:sz w:val="24"/>
              </w:rPr>
              <w:t>信息公开</w:t>
            </w:r>
            <w:r>
              <w:rPr>
                <w:rFonts w:eastAsia="宋体"/>
                <w:kern w:val="0"/>
                <w:sz w:val="24"/>
              </w:rPr>
              <w:br w:type="textWrapping"/>
            </w:r>
            <w:r>
              <w:rPr>
                <w:rFonts w:eastAsia="宋体"/>
                <w:kern w:val="0"/>
                <w:sz w:val="24"/>
              </w:rPr>
              <w:t>（2分）</w:t>
            </w:r>
          </w:p>
        </w:tc>
        <w:tc>
          <w:tcPr>
            <w:tcW w:w="4341" w:type="dxa"/>
            <w:vMerge w:val="restart"/>
            <w:noWrap w:val="0"/>
            <w:vAlign w:val="center"/>
          </w:tcPr>
          <w:p>
            <w:pPr>
              <w:widowControl/>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pPr>
              <w:widowControl/>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noWrap w:val="0"/>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过程</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p>
            <w:pPr>
              <w:widowControl/>
              <w:spacing w:line="360" w:lineRule="exact"/>
              <w:jc w:val="center"/>
              <w:rPr>
                <w:rFonts w:eastAsia="宋体"/>
                <w:kern w:val="0"/>
                <w:sz w:val="24"/>
              </w:rPr>
            </w:pPr>
          </w:p>
        </w:tc>
        <w:tc>
          <w:tcPr>
            <w:tcW w:w="1065" w:type="dxa"/>
            <w:vMerge w:val="restart"/>
            <w:noWrap w:val="0"/>
            <w:vAlign w:val="center"/>
          </w:tcPr>
          <w:p>
            <w:pPr>
              <w:widowControl/>
              <w:spacing w:line="360" w:lineRule="exact"/>
              <w:jc w:val="center"/>
              <w:rPr>
                <w:rFonts w:eastAsia="宋体"/>
                <w:kern w:val="0"/>
                <w:sz w:val="24"/>
              </w:rPr>
            </w:pPr>
            <w:r>
              <w:rPr>
                <w:rFonts w:eastAsia="宋体"/>
                <w:kern w:val="0"/>
                <w:sz w:val="24"/>
              </w:rPr>
              <w:t>资产</w:t>
            </w:r>
            <w:r>
              <w:rPr>
                <w:rFonts w:eastAsia="宋体"/>
                <w:kern w:val="0"/>
                <w:sz w:val="24"/>
              </w:rPr>
              <w:br w:type="textWrapping"/>
            </w:r>
            <w:r>
              <w:rPr>
                <w:rFonts w:eastAsia="宋体"/>
                <w:kern w:val="0"/>
                <w:sz w:val="24"/>
              </w:rPr>
              <w:t>管理</w:t>
            </w:r>
            <w:r>
              <w:rPr>
                <w:rFonts w:eastAsia="宋体"/>
                <w:kern w:val="0"/>
                <w:sz w:val="24"/>
              </w:rPr>
              <w:br w:type="textWrapping"/>
            </w: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pPr>
              <w:spacing w:line="360" w:lineRule="exact"/>
              <w:jc w:val="center"/>
              <w:rPr>
                <w:rFonts w:eastAsia="宋体"/>
                <w:sz w:val="24"/>
              </w:rPr>
            </w:pPr>
            <w:r>
              <w:rPr>
                <w:rFonts w:eastAsia="宋体"/>
                <w:sz w:val="24"/>
              </w:rPr>
              <w:t>制度</w:t>
            </w:r>
          </w:p>
          <w:p>
            <w:pPr>
              <w:spacing w:line="360" w:lineRule="exact"/>
              <w:jc w:val="center"/>
              <w:rPr>
                <w:rFonts w:eastAsia="宋体"/>
                <w:sz w:val="24"/>
              </w:rPr>
            </w:pPr>
            <w:r>
              <w:rPr>
                <w:rFonts w:eastAsia="宋体"/>
                <w:sz w:val="24"/>
              </w:rPr>
              <w:t>健全性</w:t>
            </w:r>
          </w:p>
          <w:p>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pPr>
              <w:widowControl/>
              <w:spacing w:line="360" w:lineRule="exact"/>
              <w:jc w:val="center"/>
              <w:rPr>
                <w:rFonts w:eastAsia="宋体"/>
                <w:kern w:val="0"/>
                <w:sz w:val="24"/>
              </w:rPr>
            </w:pPr>
          </w:p>
          <w:p>
            <w:pPr>
              <w:widowControl/>
              <w:spacing w:line="360" w:lineRule="exact"/>
              <w:jc w:val="center"/>
              <w:rPr>
                <w:rFonts w:eastAsia="宋体"/>
                <w:kern w:val="0"/>
                <w:sz w:val="24"/>
              </w:rPr>
            </w:pPr>
            <w:r>
              <w:rPr>
                <w:rFonts w:eastAsia="宋体"/>
                <w:kern w:val="0"/>
                <w:sz w:val="24"/>
              </w:rPr>
              <w:t>1</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60" w:lineRule="exact"/>
              <w:jc w:val="center"/>
              <w:rPr>
                <w:rFonts w:eastAsia="宋体"/>
                <w:kern w:val="0"/>
                <w:sz w:val="24"/>
              </w:rPr>
            </w:pPr>
          </w:p>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vMerge w:val="restart"/>
            <w:noWrap w:val="0"/>
            <w:vAlign w:val="center"/>
          </w:tcPr>
          <w:p>
            <w:pPr>
              <w:widowControl/>
              <w:spacing w:line="400" w:lineRule="exact"/>
              <w:jc w:val="center"/>
              <w:rPr>
                <w:rFonts w:eastAsia="宋体"/>
                <w:kern w:val="0"/>
                <w:sz w:val="24"/>
              </w:rPr>
            </w:pPr>
            <w:r>
              <w:rPr>
                <w:rFonts w:eastAsia="宋体"/>
                <w:kern w:val="0"/>
                <w:sz w:val="24"/>
              </w:rPr>
              <w:t>资产管理安全性</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pPr>
              <w:widowControl/>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pPr>
              <w:widowControl/>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noWrap w:val="0"/>
            <w:vAlign w:val="center"/>
          </w:tcPr>
          <w:p>
            <w:pPr>
              <w:widowControl/>
              <w:spacing w:line="400" w:lineRule="exact"/>
              <w:rPr>
                <w:rFonts w:eastAsia="宋体"/>
                <w:sz w:val="24"/>
              </w:rPr>
            </w:pPr>
          </w:p>
        </w:tc>
        <w:tc>
          <w:tcPr>
            <w:tcW w:w="1065" w:type="dxa"/>
            <w:vMerge w:val="continue"/>
            <w:noWrap w:val="0"/>
            <w:vAlign w:val="center"/>
          </w:tcPr>
          <w:p>
            <w:pPr>
              <w:widowControl/>
              <w:spacing w:line="400" w:lineRule="exact"/>
              <w:rPr>
                <w:rFonts w:eastAsia="宋体"/>
                <w:sz w:val="24"/>
              </w:rPr>
            </w:pPr>
          </w:p>
        </w:tc>
        <w:tc>
          <w:tcPr>
            <w:tcW w:w="1410" w:type="dxa"/>
            <w:vMerge w:val="continue"/>
            <w:noWrap w:val="0"/>
            <w:vAlign w:val="center"/>
          </w:tcPr>
          <w:p>
            <w:pPr>
              <w:widowControl/>
              <w:spacing w:line="400" w:lineRule="exact"/>
              <w:jc w:val="left"/>
              <w:rPr>
                <w:rFonts w:eastAsia="宋体"/>
                <w:sz w:val="24"/>
              </w:rPr>
            </w:pPr>
          </w:p>
        </w:tc>
        <w:tc>
          <w:tcPr>
            <w:tcW w:w="4341" w:type="dxa"/>
            <w:vMerge w:val="continue"/>
            <w:noWrap w:val="0"/>
            <w:vAlign w:val="center"/>
          </w:tcPr>
          <w:p>
            <w:pPr>
              <w:widowControl/>
              <w:spacing w:line="400" w:lineRule="exact"/>
              <w:jc w:val="left"/>
              <w:rPr>
                <w:rFonts w:eastAsia="宋体"/>
                <w:sz w:val="24"/>
              </w:rPr>
            </w:pPr>
          </w:p>
        </w:tc>
        <w:tc>
          <w:tcPr>
            <w:tcW w:w="5899" w:type="dxa"/>
            <w:noWrap w:val="0"/>
            <w:vAlign w:val="center"/>
          </w:tcPr>
          <w:p>
            <w:pPr>
              <w:widowControl/>
              <w:spacing w:line="400" w:lineRule="exact"/>
              <w:rPr>
                <w:rFonts w:eastAsia="宋体"/>
                <w:kern w:val="0"/>
                <w:sz w:val="24"/>
              </w:rPr>
            </w:pPr>
            <w:r>
              <w:rPr>
                <w:rFonts w:eastAsia="宋体"/>
                <w:bCs/>
                <w:sz w:val="24"/>
              </w:rPr>
              <w:t>2、资产是否及时登记入资产管理系统，资产管理统与账务系统是否按时对账，两账相符；</w:t>
            </w:r>
          </w:p>
        </w:tc>
        <w:tc>
          <w:tcPr>
            <w:tcW w:w="602" w:type="dxa"/>
            <w:noWrap w:val="0"/>
            <w:vAlign w:val="center"/>
          </w:tcPr>
          <w:p>
            <w:pPr>
              <w:widowControl/>
              <w:spacing w:line="360" w:lineRule="exact"/>
              <w:jc w:val="center"/>
              <w:rPr>
                <w:rFonts w:eastAsia="宋体"/>
                <w:kern w:val="0"/>
                <w:sz w:val="24"/>
              </w:rPr>
            </w:pPr>
            <w:r>
              <w:rPr>
                <w:rFonts w:eastAsia="宋体"/>
                <w:kern w:val="0"/>
                <w:sz w:val="24"/>
              </w:rPr>
              <w:t>1</w:t>
            </w:r>
          </w:p>
        </w:tc>
        <w:tc>
          <w:tcPr>
            <w:tcW w:w="795" w:type="dxa"/>
            <w:noWrap w:val="0"/>
            <w:vAlign w:val="center"/>
          </w:tcPr>
          <w:p>
            <w:pPr>
              <w:widowControl/>
              <w:spacing w:line="4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4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noWrap w:val="0"/>
            <w:vAlign w:val="center"/>
          </w:tcPr>
          <w:p>
            <w:pPr>
              <w:widowControl/>
              <w:spacing w:line="400" w:lineRule="exact"/>
              <w:rPr>
                <w:rFonts w:eastAsia="宋体"/>
                <w:sz w:val="24"/>
              </w:rPr>
            </w:pPr>
          </w:p>
        </w:tc>
        <w:tc>
          <w:tcPr>
            <w:tcW w:w="1065" w:type="dxa"/>
            <w:vMerge w:val="continue"/>
            <w:noWrap w:val="0"/>
            <w:vAlign w:val="center"/>
          </w:tcPr>
          <w:p>
            <w:pPr>
              <w:widowControl/>
              <w:spacing w:line="400" w:lineRule="exact"/>
              <w:rPr>
                <w:rFonts w:eastAsia="宋体"/>
                <w:sz w:val="24"/>
              </w:rPr>
            </w:pPr>
          </w:p>
        </w:tc>
        <w:tc>
          <w:tcPr>
            <w:tcW w:w="1410" w:type="dxa"/>
            <w:vMerge w:val="continue"/>
            <w:noWrap w:val="0"/>
            <w:vAlign w:val="center"/>
          </w:tcPr>
          <w:p>
            <w:pPr>
              <w:widowControl/>
              <w:spacing w:line="400" w:lineRule="exact"/>
              <w:jc w:val="left"/>
              <w:rPr>
                <w:rFonts w:eastAsia="宋体"/>
                <w:sz w:val="24"/>
              </w:rPr>
            </w:pPr>
          </w:p>
        </w:tc>
        <w:tc>
          <w:tcPr>
            <w:tcW w:w="4341" w:type="dxa"/>
            <w:vMerge w:val="continue"/>
            <w:noWrap w:val="0"/>
            <w:vAlign w:val="center"/>
          </w:tcPr>
          <w:p>
            <w:pPr>
              <w:widowControl/>
              <w:spacing w:line="400" w:lineRule="exact"/>
              <w:jc w:val="left"/>
              <w:rPr>
                <w:rFonts w:eastAsia="宋体"/>
                <w:sz w:val="24"/>
              </w:rPr>
            </w:pPr>
          </w:p>
        </w:tc>
        <w:tc>
          <w:tcPr>
            <w:tcW w:w="5899" w:type="dxa"/>
            <w:noWrap w:val="0"/>
            <w:vAlign w:val="center"/>
          </w:tcPr>
          <w:p>
            <w:pPr>
              <w:widowControl/>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pPr>
              <w:widowControl/>
              <w:spacing w:line="360" w:lineRule="exact"/>
              <w:jc w:val="center"/>
              <w:rPr>
                <w:rFonts w:eastAsia="宋体"/>
                <w:kern w:val="0"/>
                <w:sz w:val="24"/>
              </w:rPr>
            </w:pPr>
            <w:r>
              <w:rPr>
                <w:rFonts w:eastAsia="宋体"/>
                <w:kern w:val="0"/>
                <w:sz w:val="24"/>
              </w:rPr>
              <w:t>1</w:t>
            </w:r>
          </w:p>
        </w:tc>
        <w:tc>
          <w:tcPr>
            <w:tcW w:w="795" w:type="dxa"/>
            <w:noWrap w:val="0"/>
            <w:vAlign w:val="center"/>
          </w:tcPr>
          <w:p>
            <w:pPr>
              <w:widowControl/>
              <w:spacing w:line="400" w:lineRule="exact"/>
              <w:jc w:val="center"/>
              <w:rPr>
                <w:rFonts w:eastAsia="宋体"/>
                <w:kern w:val="0"/>
                <w:sz w:val="24"/>
              </w:rPr>
            </w:pPr>
          </w:p>
        </w:tc>
        <w:tc>
          <w:tcPr>
            <w:tcW w:w="735" w:type="dxa"/>
            <w:noWrap w:val="0"/>
            <w:vAlign w:val="center"/>
          </w:tcPr>
          <w:p>
            <w:pPr>
              <w:widowControl/>
              <w:spacing w:line="40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固定资产利用率</w:t>
            </w:r>
            <w:r>
              <w:rPr>
                <w:rFonts w:eastAsia="宋体"/>
                <w:kern w:val="0"/>
                <w:sz w:val="24"/>
              </w:rPr>
              <w:br w:type="textWrapping"/>
            </w:r>
            <w:r>
              <w:rPr>
                <w:rFonts w:eastAsia="宋体"/>
                <w:kern w:val="0"/>
                <w:sz w:val="24"/>
              </w:rPr>
              <w:t>（1分）</w:t>
            </w:r>
          </w:p>
        </w:tc>
        <w:tc>
          <w:tcPr>
            <w:tcW w:w="4341" w:type="dxa"/>
            <w:noWrap w:val="0"/>
            <w:vAlign w:val="center"/>
          </w:tcPr>
          <w:p>
            <w:pPr>
              <w:widowControl/>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pPr>
              <w:widowControl/>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pPr>
              <w:widowControl/>
              <w:spacing w:line="360" w:lineRule="exact"/>
              <w:jc w:val="center"/>
              <w:rPr>
                <w:rFonts w:eastAsia="宋体"/>
                <w:kern w:val="0"/>
                <w:sz w:val="24"/>
              </w:rPr>
            </w:pPr>
            <w:r>
              <w:rPr>
                <w:rFonts w:eastAsia="宋体"/>
                <w:kern w:val="0"/>
                <w:sz w:val="24"/>
              </w:rPr>
              <w:t>1</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widowControl/>
              <w:spacing w:line="300" w:lineRule="exact"/>
              <w:jc w:val="center"/>
              <w:rPr>
                <w:rFonts w:eastAsia="宋体"/>
                <w:kern w:val="0"/>
                <w:sz w:val="24"/>
              </w:rPr>
            </w:pPr>
            <w:r>
              <w:rPr>
                <w:rFonts w:eastAsia="宋体"/>
                <w:kern w:val="0"/>
                <w:sz w:val="24"/>
              </w:rPr>
              <w:t>实际</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pPr>
              <w:widowControl/>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9</w:t>
            </w:r>
          </w:p>
        </w:tc>
        <w:tc>
          <w:tcPr>
            <w:tcW w:w="735"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完成</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pPr>
              <w:widowControl/>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widowControl/>
              <w:spacing w:line="360" w:lineRule="exact"/>
              <w:jc w:val="center"/>
              <w:rPr>
                <w:rFonts w:hint="default" w:eastAsia="宋体"/>
                <w:kern w:val="0"/>
                <w:sz w:val="24"/>
                <w:lang w:val="en-US" w:eastAsia="zh-CN"/>
              </w:rPr>
            </w:pPr>
            <w:r>
              <w:rPr>
                <w:rFonts w:hint="eastAsia" w:eastAsia="宋体"/>
                <w:kern w:val="0"/>
                <w:sz w:val="24"/>
                <w:lang w:val="en-US" w:eastAsia="zh-CN"/>
              </w:rPr>
              <w:t>9</w:t>
            </w:r>
          </w:p>
        </w:tc>
        <w:tc>
          <w:tcPr>
            <w:tcW w:w="735"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质量</w:t>
            </w:r>
          </w:p>
          <w:p>
            <w:pPr>
              <w:widowControl/>
              <w:spacing w:line="300" w:lineRule="exact"/>
              <w:jc w:val="center"/>
              <w:rPr>
                <w:rFonts w:eastAsia="宋体"/>
                <w:kern w:val="0"/>
                <w:sz w:val="24"/>
              </w:rPr>
            </w:pPr>
            <w:r>
              <w:rPr>
                <w:rFonts w:eastAsia="宋体"/>
                <w:kern w:val="0"/>
                <w:sz w:val="24"/>
              </w:rPr>
              <w:t xml:space="preserve">达标率 </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pPr>
              <w:widowControl/>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pPr>
              <w:widowControl/>
              <w:spacing w:line="360" w:lineRule="exact"/>
              <w:jc w:val="center"/>
              <w:rPr>
                <w:rFonts w:eastAsia="宋体"/>
                <w:kern w:val="0"/>
                <w:sz w:val="24"/>
              </w:rPr>
            </w:pPr>
            <w:r>
              <w:rPr>
                <w:rFonts w:eastAsia="宋体"/>
                <w:kern w:val="0"/>
                <w:sz w:val="24"/>
              </w:rPr>
              <w:t>5</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widowControl/>
              <w:spacing w:line="360" w:lineRule="exact"/>
              <w:jc w:val="center"/>
              <w:rPr>
                <w:rFonts w:eastAsia="宋体"/>
                <w:kern w:val="0"/>
                <w:sz w:val="24"/>
              </w:rPr>
            </w:pPr>
            <w:r>
              <w:rPr>
                <w:rFonts w:eastAsia="宋体"/>
                <w:kern w:val="0"/>
                <w:sz w:val="24"/>
              </w:rPr>
              <w:t>重点工作办结率</w:t>
            </w:r>
            <w:r>
              <w:rPr>
                <w:rFonts w:eastAsia="宋体"/>
                <w:kern w:val="0"/>
                <w:sz w:val="24"/>
              </w:rPr>
              <w:br w:type="textWrapping"/>
            </w:r>
            <w:r>
              <w:rPr>
                <w:rFonts w:eastAsia="宋体"/>
                <w:kern w:val="0"/>
                <w:sz w:val="24"/>
              </w:rPr>
              <w:t>（5分）</w:t>
            </w:r>
          </w:p>
        </w:tc>
        <w:tc>
          <w:tcPr>
            <w:tcW w:w="4341" w:type="dxa"/>
            <w:noWrap w:val="0"/>
            <w:vAlign w:val="center"/>
          </w:tcPr>
          <w:p>
            <w:pPr>
              <w:widowControl/>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pPr>
              <w:widowControl/>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pPr>
              <w:widowControl/>
              <w:spacing w:line="360" w:lineRule="exact"/>
              <w:jc w:val="center"/>
              <w:rPr>
                <w:rFonts w:eastAsia="宋体"/>
                <w:kern w:val="0"/>
                <w:sz w:val="24"/>
              </w:rPr>
            </w:pPr>
            <w:r>
              <w:rPr>
                <w:rFonts w:eastAsia="宋体"/>
                <w:kern w:val="0"/>
                <w:sz w:val="24"/>
              </w:rPr>
              <w:t>5</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pPr>
              <w:widowControl/>
              <w:spacing w:line="360" w:lineRule="exact"/>
              <w:jc w:val="center"/>
              <w:rPr>
                <w:rFonts w:eastAsia="宋体"/>
                <w:kern w:val="0"/>
                <w:sz w:val="24"/>
              </w:rPr>
            </w:pPr>
            <w:r>
              <w:rPr>
                <w:rFonts w:eastAsia="宋体"/>
                <w:kern w:val="0"/>
                <w:sz w:val="24"/>
              </w:rPr>
              <w:t>效果</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pPr>
              <w:widowControl/>
              <w:spacing w:line="360" w:lineRule="exact"/>
              <w:jc w:val="center"/>
              <w:rPr>
                <w:rFonts w:eastAsia="宋体"/>
                <w:kern w:val="0"/>
                <w:sz w:val="24"/>
              </w:rPr>
            </w:pPr>
            <w:r>
              <w:rPr>
                <w:rFonts w:eastAsia="宋体"/>
                <w:kern w:val="0"/>
                <w:sz w:val="24"/>
              </w:rPr>
              <w:t>履职</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widowControl/>
              <w:spacing w:line="360" w:lineRule="exact"/>
              <w:jc w:val="center"/>
              <w:rPr>
                <w:rFonts w:eastAsia="宋体"/>
                <w:kern w:val="0"/>
                <w:sz w:val="24"/>
              </w:rPr>
            </w:pPr>
            <w:r>
              <w:rPr>
                <w:rFonts w:eastAsia="宋体"/>
                <w:kern w:val="0"/>
                <w:sz w:val="24"/>
              </w:rPr>
              <w:t>经济效益</w:t>
            </w:r>
            <w:r>
              <w:rPr>
                <w:rFonts w:eastAsia="宋体"/>
                <w:kern w:val="0"/>
                <w:sz w:val="24"/>
              </w:rPr>
              <w:br w:type="textWrapping"/>
            </w: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pPr>
              <w:widowControl/>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9</w:t>
            </w:r>
          </w:p>
        </w:tc>
        <w:tc>
          <w:tcPr>
            <w:tcW w:w="735"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pPr>
              <w:widowControl/>
              <w:spacing w:line="360" w:lineRule="exact"/>
              <w:jc w:val="left"/>
              <w:rPr>
                <w:rFonts w:eastAsia="宋体"/>
                <w:kern w:val="0"/>
                <w:sz w:val="24"/>
              </w:rPr>
            </w:pP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widowControl/>
              <w:spacing w:line="360" w:lineRule="exact"/>
              <w:jc w:val="center"/>
              <w:rPr>
                <w:rFonts w:hint="default" w:eastAsia="宋体"/>
                <w:kern w:val="0"/>
                <w:sz w:val="24"/>
                <w:lang w:val="en-US" w:eastAsia="zh-CN"/>
              </w:rPr>
            </w:pPr>
            <w:r>
              <w:rPr>
                <w:rFonts w:hint="eastAsia" w:eastAsia="宋体"/>
                <w:kern w:val="0"/>
                <w:sz w:val="24"/>
                <w:lang w:val="en-US" w:eastAsia="zh-CN"/>
              </w:rPr>
              <w:t>9</w:t>
            </w:r>
          </w:p>
        </w:tc>
        <w:tc>
          <w:tcPr>
            <w:tcW w:w="735"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60" w:lineRule="exact"/>
              <w:jc w:val="center"/>
              <w:rPr>
                <w:rFonts w:eastAsia="宋体"/>
                <w:kern w:val="0"/>
                <w:sz w:val="24"/>
              </w:rPr>
            </w:pPr>
            <w:r>
              <w:rPr>
                <w:rFonts w:eastAsia="宋体"/>
                <w:kern w:val="0"/>
                <w:sz w:val="24"/>
              </w:rPr>
              <w:t>生态效益</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pPr>
              <w:widowControl/>
              <w:spacing w:line="360" w:lineRule="exact"/>
              <w:jc w:val="left"/>
              <w:rPr>
                <w:rFonts w:eastAsia="宋体"/>
                <w:kern w:val="0"/>
                <w:sz w:val="24"/>
              </w:rPr>
            </w:pPr>
          </w:p>
        </w:tc>
        <w:tc>
          <w:tcPr>
            <w:tcW w:w="602" w:type="dxa"/>
            <w:noWrap w:val="0"/>
            <w:vAlign w:val="center"/>
          </w:tcPr>
          <w:p>
            <w:pPr>
              <w:widowControl/>
              <w:spacing w:line="360" w:lineRule="exact"/>
              <w:jc w:val="center"/>
              <w:rPr>
                <w:rFonts w:eastAsia="宋体"/>
                <w:kern w:val="0"/>
                <w:sz w:val="24"/>
              </w:rPr>
            </w:pPr>
            <w:r>
              <w:rPr>
                <w:rFonts w:eastAsia="宋体"/>
                <w:kern w:val="0"/>
                <w:sz w:val="24"/>
              </w:rPr>
              <w:t>5</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60" w:lineRule="exact"/>
              <w:jc w:val="center"/>
              <w:rPr>
                <w:rFonts w:eastAsia="宋体"/>
                <w:kern w:val="0"/>
                <w:sz w:val="24"/>
              </w:rPr>
            </w:pPr>
            <w:r>
              <w:rPr>
                <w:rFonts w:eastAsia="宋体"/>
                <w:kern w:val="0"/>
                <w:sz w:val="24"/>
              </w:rPr>
              <w:t>服务对象满意度</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pPr>
              <w:widowControl/>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pPr>
              <w:widowControl/>
              <w:spacing w:line="360" w:lineRule="exact"/>
              <w:jc w:val="center"/>
              <w:rPr>
                <w:rFonts w:eastAsia="宋体"/>
                <w:kern w:val="0"/>
                <w:sz w:val="24"/>
              </w:rPr>
            </w:pPr>
            <w:r>
              <w:rPr>
                <w:rFonts w:eastAsia="宋体"/>
                <w:kern w:val="0"/>
                <w:sz w:val="24"/>
              </w:rPr>
              <w:t>5</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pPr>
              <w:widowControl/>
              <w:spacing w:line="360" w:lineRule="exact"/>
              <w:jc w:val="center"/>
              <w:rPr>
                <w:rFonts w:eastAsia="宋体"/>
                <w:b/>
                <w:bCs/>
                <w:kern w:val="0"/>
                <w:sz w:val="24"/>
              </w:rPr>
            </w:pPr>
            <w:bookmarkStart w:id="0" w:name="_GoBack" w:colFirst="5" w:colLast="6"/>
            <w:r>
              <w:rPr>
                <w:rFonts w:eastAsia="宋体"/>
                <w:b/>
                <w:bCs/>
                <w:kern w:val="0"/>
                <w:sz w:val="24"/>
              </w:rPr>
              <w:t>总  分</w:t>
            </w:r>
          </w:p>
        </w:tc>
        <w:tc>
          <w:tcPr>
            <w:tcW w:w="602" w:type="dxa"/>
            <w:noWrap w:val="0"/>
            <w:vAlign w:val="center"/>
          </w:tcPr>
          <w:p>
            <w:pPr>
              <w:widowControl/>
              <w:spacing w:line="360" w:lineRule="exact"/>
              <w:jc w:val="center"/>
              <w:rPr>
                <w:rFonts w:eastAsia="宋体"/>
                <w:kern w:val="0"/>
                <w:sz w:val="24"/>
              </w:rPr>
            </w:pPr>
            <w:r>
              <w:rPr>
                <w:rFonts w:eastAsia="宋体"/>
                <w:kern w:val="0"/>
                <w:sz w:val="24"/>
              </w:rPr>
              <w:t>100</w:t>
            </w:r>
          </w:p>
        </w:tc>
        <w:tc>
          <w:tcPr>
            <w:tcW w:w="795" w:type="dxa"/>
            <w:noWrap w:val="0"/>
            <w:vAlign w:val="center"/>
          </w:tcPr>
          <w:p>
            <w:pPr>
              <w:widowControl/>
              <w:spacing w:line="360" w:lineRule="exact"/>
              <w:jc w:val="center"/>
              <w:rPr>
                <w:rFonts w:hint="default" w:eastAsia="宋体"/>
                <w:kern w:val="0"/>
                <w:sz w:val="24"/>
                <w:lang w:val="en-US" w:eastAsia="zh-CN"/>
              </w:rPr>
            </w:pPr>
            <w:r>
              <w:rPr>
                <w:rFonts w:hint="eastAsia" w:eastAsia="宋体"/>
                <w:kern w:val="0"/>
                <w:sz w:val="24"/>
                <w:lang w:val="en-US" w:eastAsia="zh-CN"/>
              </w:rPr>
              <w:t>96</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bookmarkEnd w:id="0"/>
    </w:tbl>
    <w:p>
      <w:pPr>
        <w:widowControl/>
        <w:spacing w:line="360" w:lineRule="exact"/>
        <w:rPr>
          <w:rFonts w:hint="eastAsia" w:eastAsia="宋体"/>
          <w:kern w:val="0"/>
          <w:sz w:val="24"/>
          <w:lang w:eastAsia="zh-CN"/>
        </w:rPr>
        <w:sectPr>
          <w:pgSz w:w="16840" w:h="11907" w:orient="landscape"/>
          <w:pgMar w:top="1418" w:right="1418" w:bottom="1418" w:left="1418" w:header="851" w:footer="1304" w:gutter="0"/>
          <w:cols w:space="720" w:num="1"/>
          <w:docGrid w:linePitch="534" w:charSpace="704"/>
        </w:sectPr>
      </w:pPr>
      <w:r>
        <w:rPr>
          <w:rFonts w:eastAsia="宋体"/>
          <w:kern w:val="0"/>
          <w:sz w:val="24"/>
        </w:rPr>
        <w:t>填报人：</w:t>
      </w:r>
      <w:r>
        <w:rPr>
          <w:rFonts w:hint="eastAsia" w:eastAsia="宋体"/>
          <w:kern w:val="0"/>
          <w:sz w:val="24"/>
          <w:lang w:eastAsia="zh-CN"/>
        </w:rPr>
        <w:t>邓茜</w:t>
      </w:r>
      <w:r>
        <w:rPr>
          <w:rFonts w:eastAsia="宋体"/>
          <w:kern w:val="0"/>
          <w:sz w:val="24"/>
        </w:rPr>
        <w:t xml:space="preserve">                                                                       单位负责人（签字）：</w:t>
      </w:r>
      <w:r>
        <w:rPr>
          <w:rFonts w:hint="eastAsia" w:eastAsia="宋体"/>
          <w:kern w:val="0"/>
          <w:sz w:val="24"/>
          <w:lang w:eastAsia="zh-CN"/>
        </w:rPr>
        <w:t>姚兰图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F27C6"/>
    <w:rsid w:val="246F2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2021-04-20T02:30:00Z</dcterms:created>
  <dc:creator>Administrator</dc:creator>
  <cp:lastModifiedBy>Administrator</cp:lastModifiedBy>
  <dcterms:modified xsi:type="dcterms:W3CDTF">2021-04-20T02:34:53Z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