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center"/>
        <w:rPr>
          <w:rFonts w:asciiTheme="minorEastAsia" w:hAnsiTheme="minorEastAsia" w:eastAsiaTheme="minorEastAsia"/>
          <w:b/>
          <w:kern w:val="0"/>
        </w:rPr>
      </w:pPr>
      <w:r>
        <w:rPr>
          <w:rFonts w:hint="eastAsia" w:asciiTheme="minorEastAsia" w:hAnsiTheme="minorEastAsia" w:eastAsiaTheme="minorEastAsia"/>
          <w:b/>
          <w:kern w:val="0"/>
        </w:rPr>
        <w:t>松木塘镇人民政府</w:t>
      </w:r>
    </w:p>
    <w:p>
      <w:pPr>
        <w:widowControl/>
        <w:spacing w:line="594" w:lineRule="exact"/>
        <w:jc w:val="center"/>
        <w:rPr>
          <w:rFonts w:asciiTheme="minorEastAsia" w:hAnsiTheme="minorEastAsia" w:eastAsiaTheme="minorEastAsia"/>
          <w:b/>
          <w:kern w:val="0"/>
        </w:rPr>
      </w:pPr>
      <w:r>
        <w:rPr>
          <w:rFonts w:hint="eastAsia" w:asciiTheme="minorEastAsia" w:hAnsiTheme="minorEastAsia" w:eastAsiaTheme="minorEastAsia"/>
          <w:b/>
          <w:kern w:val="0"/>
        </w:rPr>
        <w:t>202</w:t>
      </w:r>
      <w:r>
        <w:rPr>
          <w:rFonts w:asciiTheme="minorEastAsia" w:hAnsiTheme="minorEastAsia" w:eastAsiaTheme="minorEastAsia"/>
          <w:b/>
          <w:kern w:val="0"/>
        </w:rPr>
        <w:t>1</w:t>
      </w:r>
      <w:r>
        <w:rPr>
          <w:rFonts w:hint="eastAsia" w:asciiTheme="minorEastAsia" w:hAnsiTheme="minorEastAsia" w:eastAsiaTheme="minorEastAsia"/>
          <w:b/>
          <w:kern w:val="0"/>
        </w:rPr>
        <w:t>年度部门整体支出绩效报告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一、部门概况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（一）部门基本情况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桃江县松木塘镇地处桃江县西北角，与宁乡县、安化县毗邻，全镇总面积</w:t>
      </w:r>
      <w:r>
        <w:rPr>
          <w:rFonts w:asciiTheme="minorEastAsia" w:hAnsiTheme="minorEastAsia" w:eastAsiaTheme="minorEastAsia"/>
          <w:kern w:val="0"/>
          <w:sz w:val="24"/>
        </w:rPr>
        <w:t>228</w:t>
      </w:r>
      <w:r>
        <w:rPr>
          <w:rFonts w:hint="eastAsia" w:asciiTheme="minorEastAsia" w:hAnsiTheme="minorEastAsia" w:eastAsiaTheme="minorEastAsia"/>
          <w:kern w:val="0"/>
          <w:sz w:val="24"/>
        </w:rPr>
        <w:t>平方公里，其中耕地面积</w:t>
      </w:r>
      <w:r>
        <w:rPr>
          <w:rFonts w:asciiTheme="minorEastAsia" w:hAnsiTheme="minorEastAsia" w:eastAsiaTheme="minorEastAsia"/>
          <w:kern w:val="0"/>
          <w:sz w:val="24"/>
        </w:rPr>
        <w:t>30940</w:t>
      </w:r>
      <w:r>
        <w:rPr>
          <w:rFonts w:hint="eastAsia" w:asciiTheme="minorEastAsia" w:hAnsiTheme="minorEastAsia" w:eastAsiaTheme="minorEastAsia"/>
          <w:kern w:val="0"/>
          <w:sz w:val="24"/>
        </w:rPr>
        <w:t>亩，林地面积</w:t>
      </w:r>
      <w:r>
        <w:rPr>
          <w:rFonts w:asciiTheme="minorEastAsia" w:hAnsiTheme="minorEastAsia" w:eastAsiaTheme="minorEastAsia"/>
          <w:kern w:val="0"/>
          <w:sz w:val="24"/>
        </w:rPr>
        <w:t>282900</w:t>
      </w:r>
      <w:r>
        <w:rPr>
          <w:rFonts w:hint="eastAsia" w:asciiTheme="minorEastAsia" w:hAnsiTheme="minorEastAsia" w:eastAsiaTheme="minorEastAsia"/>
          <w:kern w:val="0"/>
          <w:sz w:val="24"/>
        </w:rPr>
        <w:t>亩，辖</w:t>
      </w:r>
      <w:r>
        <w:rPr>
          <w:rFonts w:asciiTheme="minorEastAsia" w:hAnsiTheme="minorEastAsia" w:eastAsiaTheme="minorEastAsia"/>
          <w:kern w:val="0"/>
          <w:sz w:val="24"/>
        </w:rPr>
        <w:t>14</w:t>
      </w:r>
      <w:r>
        <w:rPr>
          <w:rFonts w:hint="eastAsia" w:asciiTheme="minorEastAsia" w:hAnsiTheme="minorEastAsia" w:eastAsiaTheme="minorEastAsia"/>
          <w:kern w:val="0"/>
          <w:sz w:val="24"/>
        </w:rPr>
        <w:t>个行政村，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个社区。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根据机构改革精神我镇现有内设七办三中心一大队一站所，包括党政办、党建办、经济发展办、财政财务管理办、自然资源和生态环境办、社会治安和应急管理办、社会事务办、社会事务综合服务中心、农业综合服务中心、党群和政务服务中心、综合执法大队及退役军人服务站。机构改革后核定编制数103人，其中行政编制数52人（含行政工勤编制3人）、事业编制数51人，年底实有在职人员</w:t>
      </w:r>
      <w:r>
        <w:rPr>
          <w:rFonts w:asciiTheme="minorEastAsia" w:hAnsiTheme="minorEastAsia" w:eastAsiaTheme="minorEastAsia"/>
          <w:kern w:val="0"/>
          <w:sz w:val="24"/>
        </w:rPr>
        <w:t>91</w:t>
      </w:r>
      <w:r>
        <w:rPr>
          <w:rFonts w:hint="eastAsia" w:asciiTheme="minorEastAsia" w:hAnsiTheme="minorEastAsia" w:eastAsiaTheme="minorEastAsia"/>
          <w:kern w:val="0"/>
          <w:sz w:val="24"/>
        </w:rPr>
        <w:t>人。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松木塘镇政府主要工作职责是在县委、县政府的正确领导下，根据党的路线、方针、政策，带领全镇人民发家致富奔小康。为此，镇政府内设党政办、财贸办、计划生育办、综合治理办、农清办、民政劳动保障办、国土规划城建环保所、重点办、农村农业综合办等。主管上传下达、文件的签发、文化、广播、组织、人事、妇女，财政、财务、税收、后勤，计划生育工作，综合治理、维稳、信访，防汛、抗旱、农村清洁工程、农技、农机，企业、安全生产，民政、劳动保障，城镇规划，城区卫生等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（二）部门整体支出规模、使用方向和主要内容、涉及范围等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02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年度收入</w:t>
      </w:r>
      <w:r>
        <w:rPr>
          <w:rFonts w:asciiTheme="minorEastAsia" w:hAnsiTheme="minorEastAsia" w:eastAsiaTheme="minorEastAsia"/>
          <w:kern w:val="0"/>
          <w:sz w:val="24"/>
        </w:rPr>
        <w:t>3756.35</w:t>
      </w:r>
      <w:r>
        <w:rPr>
          <w:rFonts w:hint="eastAsia" w:asciiTheme="minorEastAsia" w:hAnsiTheme="minorEastAsia" w:eastAsiaTheme="minorEastAsia"/>
          <w:kern w:val="0"/>
          <w:sz w:val="24"/>
        </w:rPr>
        <w:t>万元，一般财政拨款收入</w:t>
      </w:r>
      <w:r>
        <w:rPr>
          <w:rFonts w:asciiTheme="minorEastAsia" w:hAnsiTheme="minorEastAsia" w:eastAsiaTheme="minorEastAsia"/>
          <w:kern w:val="0"/>
          <w:sz w:val="24"/>
        </w:rPr>
        <w:t>3390.99</w:t>
      </w:r>
      <w:r>
        <w:rPr>
          <w:rFonts w:hint="eastAsia" w:asciiTheme="minorEastAsia" w:hAnsiTheme="minorEastAsia" w:eastAsiaTheme="minorEastAsia"/>
          <w:kern w:val="0"/>
          <w:sz w:val="24"/>
        </w:rPr>
        <w:t>万元，政府性基金拨款收入为</w:t>
      </w:r>
      <w:r>
        <w:rPr>
          <w:rFonts w:asciiTheme="minorEastAsia" w:hAnsiTheme="minorEastAsia" w:eastAsiaTheme="minorEastAsia"/>
          <w:kern w:val="0"/>
          <w:sz w:val="24"/>
        </w:rPr>
        <w:t>365.36</w:t>
      </w:r>
      <w:r>
        <w:rPr>
          <w:rFonts w:hint="eastAsia" w:asciiTheme="minorEastAsia" w:hAnsiTheme="minorEastAsia" w:eastAsiaTheme="minorEastAsia"/>
          <w:kern w:val="0"/>
          <w:sz w:val="24"/>
        </w:rPr>
        <w:t>万元。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20</w:t>
      </w: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年度支出</w:t>
      </w:r>
      <w:r>
        <w:rPr>
          <w:rFonts w:asciiTheme="minorEastAsia" w:hAnsiTheme="minorEastAsia" w:eastAsiaTheme="minorEastAsia"/>
          <w:kern w:val="0"/>
          <w:sz w:val="24"/>
        </w:rPr>
        <w:t>3756.35</w:t>
      </w:r>
      <w:r>
        <w:rPr>
          <w:rFonts w:hint="eastAsia" w:asciiTheme="minorEastAsia" w:hAnsiTheme="minorEastAsia" w:eastAsiaTheme="minorEastAsia"/>
          <w:kern w:val="0"/>
          <w:sz w:val="24"/>
        </w:rPr>
        <w:t>万元，基本支出</w:t>
      </w:r>
      <w:r>
        <w:rPr>
          <w:rFonts w:asciiTheme="minorEastAsia" w:hAnsiTheme="minorEastAsia" w:eastAsiaTheme="minorEastAsia"/>
          <w:kern w:val="0"/>
          <w:sz w:val="24"/>
        </w:rPr>
        <w:t>1867.17</w:t>
      </w:r>
      <w:r>
        <w:rPr>
          <w:rFonts w:hint="eastAsia" w:asciiTheme="minorEastAsia" w:hAnsiTheme="minorEastAsia" w:eastAsiaTheme="minorEastAsia"/>
          <w:kern w:val="0"/>
          <w:sz w:val="24"/>
        </w:rPr>
        <w:t>万元，其中工资福利支出9</w:t>
      </w:r>
      <w:r>
        <w:rPr>
          <w:rFonts w:asciiTheme="minorEastAsia" w:hAnsiTheme="minorEastAsia" w:eastAsiaTheme="minorEastAsia"/>
          <w:kern w:val="0"/>
          <w:sz w:val="24"/>
        </w:rPr>
        <w:t>71.65</w:t>
      </w:r>
      <w:r>
        <w:rPr>
          <w:rFonts w:hint="eastAsia" w:asciiTheme="minorEastAsia" w:hAnsiTheme="minorEastAsia" w:eastAsiaTheme="minorEastAsia"/>
          <w:kern w:val="0"/>
          <w:sz w:val="24"/>
        </w:rPr>
        <w:t>万元，对个人和家庭补助6</w:t>
      </w:r>
      <w:r>
        <w:rPr>
          <w:rFonts w:asciiTheme="minorEastAsia" w:hAnsiTheme="minorEastAsia" w:eastAsiaTheme="minorEastAsia"/>
          <w:kern w:val="0"/>
          <w:sz w:val="24"/>
        </w:rPr>
        <w:t>29.13</w:t>
      </w:r>
      <w:r>
        <w:rPr>
          <w:rFonts w:hint="eastAsia" w:asciiTheme="minorEastAsia" w:hAnsiTheme="minorEastAsia" w:eastAsiaTheme="minorEastAsia"/>
          <w:kern w:val="0"/>
          <w:sz w:val="24"/>
        </w:rPr>
        <w:t>万元，商品和服务支出2</w:t>
      </w:r>
      <w:r>
        <w:rPr>
          <w:rFonts w:asciiTheme="minorEastAsia" w:hAnsiTheme="minorEastAsia" w:eastAsiaTheme="minorEastAsia"/>
          <w:kern w:val="0"/>
          <w:sz w:val="24"/>
        </w:rPr>
        <w:t>28.89</w:t>
      </w:r>
      <w:r>
        <w:rPr>
          <w:rFonts w:hint="eastAsia" w:asciiTheme="minorEastAsia" w:hAnsiTheme="minorEastAsia" w:eastAsiaTheme="minorEastAsia"/>
          <w:kern w:val="0"/>
          <w:sz w:val="24"/>
        </w:rPr>
        <w:t>万元，其中办公费支出2</w:t>
      </w:r>
      <w:r>
        <w:rPr>
          <w:rFonts w:asciiTheme="minorEastAsia" w:hAnsiTheme="minorEastAsia" w:eastAsiaTheme="minorEastAsia"/>
          <w:kern w:val="0"/>
          <w:sz w:val="24"/>
        </w:rPr>
        <w:t>2.27</w:t>
      </w:r>
      <w:r>
        <w:rPr>
          <w:rFonts w:hint="eastAsia" w:asciiTheme="minorEastAsia" w:hAnsiTheme="minorEastAsia" w:eastAsiaTheme="minorEastAsia"/>
          <w:kern w:val="0"/>
          <w:sz w:val="24"/>
        </w:rPr>
        <w:t>万元，三公经费支出万元；项目支出</w:t>
      </w:r>
      <w:r>
        <w:rPr>
          <w:rFonts w:asciiTheme="minorEastAsia" w:hAnsiTheme="minorEastAsia" w:eastAsiaTheme="minorEastAsia"/>
          <w:kern w:val="0"/>
          <w:sz w:val="24"/>
        </w:rPr>
        <w:t>1889.18</w:t>
      </w:r>
      <w:r>
        <w:rPr>
          <w:rFonts w:hint="eastAsia" w:asciiTheme="minorEastAsia" w:hAnsiTheme="minorEastAsia" w:eastAsiaTheme="minorEastAsia"/>
          <w:kern w:val="0"/>
          <w:sz w:val="24"/>
        </w:rPr>
        <w:t>万元。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（三）绩效目标设立情况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02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年度部门整体支出绩效目标：基本支出为保障各部门正常运转、提高工作效率，更好更快完成半年度、年度日常工作任务，项目支出为保障村干办公、村委的正常合理支出，提高乡镇基础设施完善率，丰富人民正常生活娱乐文化需求，发展乡村经济，提高人民生活水平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二、部门整体支出管理及使用情况分析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（一）基本支出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02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年度工资福利支出</w:t>
      </w:r>
      <w:r>
        <w:rPr>
          <w:rFonts w:asciiTheme="minorEastAsia" w:hAnsiTheme="minorEastAsia" w:eastAsiaTheme="minorEastAsia"/>
          <w:color w:val="000000"/>
          <w:sz w:val="24"/>
        </w:rPr>
        <w:t>971.65</w:t>
      </w:r>
      <w:r>
        <w:rPr>
          <w:rFonts w:hint="eastAsia" w:asciiTheme="minorEastAsia" w:hAnsiTheme="minorEastAsia" w:eastAsiaTheme="minorEastAsia"/>
          <w:kern w:val="0"/>
          <w:sz w:val="24"/>
        </w:rPr>
        <w:t>万元，保障了机关干职工工资、绩效奖金的正常发放。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20</w:t>
      </w: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年度对个人和家庭补助</w:t>
      </w:r>
      <w:r>
        <w:rPr>
          <w:rFonts w:asciiTheme="minorEastAsia" w:hAnsiTheme="minorEastAsia" w:eastAsiaTheme="minorEastAsia"/>
          <w:color w:val="000000"/>
          <w:sz w:val="24"/>
        </w:rPr>
        <w:t>629.13</w:t>
      </w:r>
      <w:r>
        <w:rPr>
          <w:rFonts w:hint="eastAsia" w:asciiTheme="minorEastAsia" w:hAnsiTheme="minorEastAsia" w:eastAsiaTheme="minorEastAsia"/>
          <w:kern w:val="0"/>
          <w:sz w:val="24"/>
        </w:rPr>
        <w:t>万元，保障了退休费、离休费、生活补助的正常发放。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02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年度商品和服务支出</w:t>
      </w:r>
      <w:r>
        <w:rPr>
          <w:rFonts w:asciiTheme="minorEastAsia" w:hAnsiTheme="minorEastAsia" w:eastAsiaTheme="minorEastAsia"/>
          <w:color w:val="000000"/>
          <w:sz w:val="24"/>
        </w:rPr>
        <w:t>228.89</w:t>
      </w:r>
      <w:r>
        <w:rPr>
          <w:rFonts w:hint="eastAsia" w:asciiTheme="minorEastAsia" w:hAnsiTheme="minorEastAsia" w:eastAsiaTheme="minorEastAsia"/>
          <w:kern w:val="0"/>
          <w:sz w:val="24"/>
        </w:rPr>
        <w:t>万元，保障了机关日常工作的正常运转，其中办公费支出2</w:t>
      </w:r>
      <w:r>
        <w:rPr>
          <w:rFonts w:asciiTheme="minorEastAsia" w:hAnsiTheme="minorEastAsia" w:eastAsiaTheme="minorEastAsia"/>
          <w:kern w:val="0"/>
          <w:sz w:val="24"/>
        </w:rPr>
        <w:t>2.27</w:t>
      </w:r>
      <w:r>
        <w:rPr>
          <w:rFonts w:hint="eastAsia" w:asciiTheme="minorEastAsia" w:hAnsiTheme="minorEastAsia" w:eastAsiaTheme="minorEastAsia"/>
          <w:kern w:val="0"/>
          <w:sz w:val="24"/>
        </w:rPr>
        <w:t>万元，办公费支出比上年增加</w:t>
      </w:r>
      <w:r>
        <w:rPr>
          <w:rFonts w:asciiTheme="minorEastAsia" w:hAnsiTheme="minorEastAsia" w:eastAsiaTheme="minorEastAsia"/>
          <w:kern w:val="0"/>
          <w:sz w:val="24"/>
        </w:rPr>
        <w:t>5.29%</w:t>
      </w:r>
      <w:r>
        <w:rPr>
          <w:rFonts w:hint="eastAsia" w:asciiTheme="minorEastAsia" w:hAnsiTheme="minorEastAsia" w:eastAsiaTheme="minorEastAsia"/>
          <w:kern w:val="0"/>
          <w:sz w:val="24"/>
        </w:rPr>
        <w:t>。三公经费支出</w:t>
      </w:r>
      <w:r>
        <w:rPr>
          <w:rFonts w:asciiTheme="minorEastAsia" w:hAnsiTheme="minorEastAsia" w:eastAsiaTheme="minorEastAsia"/>
          <w:color w:val="000000"/>
          <w:sz w:val="24"/>
        </w:rPr>
        <w:t>54.4</w:t>
      </w:r>
      <w:r>
        <w:rPr>
          <w:rFonts w:hint="eastAsia" w:asciiTheme="minorEastAsia" w:hAnsiTheme="minorEastAsia" w:eastAsiaTheme="minorEastAsia"/>
          <w:kern w:val="0"/>
          <w:sz w:val="24"/>
        </w:rPr>
        <w:t>万元，其中公务接待费为</w:t>
      </w:r>
      <w:r>
        <w:rPr>
          <w:rFonts w:hint="eastAsia" w:asciiTheme="minorEastAsia" w:hAnsiTheme="minorEastAsia" w:eastAsiaTheme="minorEastAsia"/>
          <w:color w:val="000000"/>
          <w:sz w:val="24"/>
        </w:rPr>
        <w:t>22.</w:t>
      </w:r>
      <w:r>
        <w:rPr>
          <w:rFonts w:asciiTheme="minorEastAsia" w:hAnsiTheme="minorEastAsia" w:eastAsiaTheme="minorEastAsia"/>
          <w:color w:val="00000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万元，公务用车运行维护费为3.5万元，公务用车保有量为</w:t>
      </w:r>
      <w:r>
        <w:rPr>
          <w:rFonts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辆。三公经费比上年增加2</w:t>
      </w:r>
      <w:r>
        <w:rPr>
          <w:rFonts w:asciiTheme="minorEastAsia" w:hAnsiTheme="minorEastAsia" w:eastAsiaTheme="minorEastAsia"/>
          <w:kern w:val="0"/>
          <w:sz w:val="24"/>
        </w:rPr>
        <w:t>8.4</w:t>
      </w:r>
      <w:r>
        <w:rPr>
          <w:rFonts w:hint="eastAsia" w:asciiTheme="minorEastAsia" w:hAnsiTheme="minorEastAsia" w:eastAsiaTheme="minorEastAsia"/>
          <w:kern w:val="0"/>
          <w:sz w:val="24"/>
        </w:rPr>
        <w:t>万元，新增公务用车一辆，</w:t>
      </w:r>
      <w:r>
        <w:rPr>
          <w:rFonts w:asciiTheme="minorEastAsia" w:hAnsiTheme="minorEastAsia" w:eastAsiaTheme="minorEastAsia"/>
          <w:kern w:val="0"/>
          <w:sz w:val="24"/>
        </w:rPr>
        <w:t>20</w:t>
      </w: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年公务接待累计接待批次</w:t>
      </w:r>
      <w:r>
        <w:rPr>
          <w:rFonts w:asciiTheme="minorEastAsia" w:hAnsiTheme="minorEastAsia" w:eastAsiaTheme="minorEastAsia"/>
          <w:kern w:val="0"/>
          <w:sz w:val="24"/>
        </w:rPr>
        <w:t>180</w:t>
      </w:r>
      <w:r>
        <w:rPr>
          <w:rFonts w:hint="eastAsia" w:asciiTheme="minorEastAsia" w:hAnsiTheme="minorEastAsia" w:eastAsiaTheme="minorEastAsia"/>
          <w:kern w:val="0"/>
          <w:sz w:val="24"/>
        </w:rPr>
        <w:t>批，人数</w:t>
      </w:r>
      <w:r>
        <w:rPr>
          <w:rFonts w:asciiTheme="minorEastAsia" w:hAnsiTheme="minorEastAsia" w:eastAsiaTheme="minorEastAsia"/>
          <w:kern w:val="0"/>
          <w:sz w:val="24"/>
        </w:rPr>
        <w:t>1800</w:t>
      </w:r>
      <w:r>
        <w:rPr>
          <w:rFonts w:hint="eastAsia" w:asciiTheme="minorEastAsia" w:hAnsiTheme="minorEastAsia" w:eastAsiaTheme="minorEastAsia"/>
          <w:kern w:val="0"/>
          <w:sz w:val="24"/>
        </w:rPr>
        <w:t>人。</w:t>
      </w:r>
    </w:p>
    <w:p>
      <w:pPr>
        <w:widowControl/>
        <w:tabs>
          <w:tab w:val="left" w:pos="3396"/>
        </w:tabs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（二）项目支出</w:t>
      </w:r>
      <w:r>
        <w:rPr>
          <w:rFonts w:asciiTheme="minorEastAsia" w:hAnsiTheme="minorEastAsia" w:eastAsiaTheme="minorEastAsia"/>
          <w:kern w:val="0"/>
          <w:sz w:val="24"/>
        </w:rPr>
        <w:tab/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在项目支出方面，主要是</w:t>
      </w:r>
      <w:bookmarkStart w:id="0" w:name="_Hlk119426253"/>
      <w:r>
        <w:rPr>
          <w:rFonts w:hint="eastAsia" w:asciiTheme="minorEastAsia" w:hAnsiTheme="minorEastAsia" w:eastAsiaTheme="minorEastAsia"/>
          <w:kern w:val="0"/>
          <w:sz w:val="24"/>
        </w:rPr>
        <w:t>对村民委员会和村党支部的补助</w:t>
      </w:r>
      <w:r>
        <w:rPr>
          <w:rFonts w:asciiTheme="minorEastAsia" w:hAnsiTheme="minorEastAsia" w:eastAsiaTheme="minorEastAsia"/>
          <w:color w:val="000000"/>
          <w:sz w:val="24"/>
        </w:rPr>
        <w:t>449.06</w:t>
      </w:r>
      <w:bookmarkEnd w:id="0"/>
      <w:r>
        <w:rPr>
          <w:rFonts w:hint="eastAsia" w:asciiTheme="minorEastAsia" w:hAnsiTheme="minorEastAsia" w:eastAsiaTheme="minorEastAsia"/>
          <w:kern w:val="0"/>
          <w:sz w:val="24"/>
        </w:rPr>
        <w:t>万元，该项目主要用于村级工作运转，包含村干部工资、妇女小组长工资、</w:t>
      </w:r>
      <w:r>
        <w:rPr>
          <w:rFonts w:asciiTheme="minorEastAsia" w:hAnsiTheme="minorEastAsia" w:eastAsiaTheme="minorEastAsia"/>
          <w:kern w:val="0"/>
          <w:sz w:val="24"/>
        </w:rPr>
        <w:t>1.5</w:t>
      </w:r>
      <w:r>
        <w:rPr>
          <w:rFonts w:hint="eastAsia" w:asciiTheme="minorEastAsia" w:hAnsiTheme="minorEastAsia" w:eastAsiaTheme="minorEastAsia"/>
          <w:kern w:val="0"/>
          <w:sz w:val="24"/>
        </w:rPr>
        <w:t>元</w:t>
      </w:r>
      <w:r>
        <w:rPr>
          <w:rFonts w:asciiTheme="minorEastAsia" w:hAnsiTheme="minorEastAsia" w:eastAsiaTheme="minorEastAsia"/>
          <w:kern w:val="0"/>
          <w:sz w:val="24"/>
        </w:rPr>
        <w:t>/</w:t>
      </w:r>
      <w:r>
        <w:rPr>
          <w:rFonts w:hint="eastAsia" w:asciiTheme="minorEastAsia" w:hAnsiTheme="minorEastAsia" w:eastAsiaTheme="minorEastAsia"/>
          <w:kern w:val="0"/>
          <w:sz w:val="24"/>
        </w:rPr>
        <w:t>人村级办公运转经费、离任村干生活补助、会议误工、交通补助以及其他支出等。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三、项目组织实施情况分析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202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年项目支出主要是对村民委员会和村党支部的补助449.06万元，该项目</w:t>
      </w:r>
      <w:r>
        <w:rPr>
          <w:rFonts w:asciiTheme="minorEastAsia" w:hAnsiTheme="minorEastAsia" w:eastAsiaTheme="minorEastAsia"/>
          <w:kern w:val="0"/>
          <w:sz w:val="24"/>
        </w:rPr>
        <w:t>20</w:t>
      </w: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年按季度拨付到</w:t>
      </w:r>
      <w:r>
        <w:rPr>
          <w:rFonts w:asciiTheme="minorEastAsia" w:hAnsiTheme="minorEastAsia" w:eastAsiaTheme="minorEastAsia"/>
          <w:kern w:val="0"/>
          <w:sz w:val="24"/>
        </w:rPr>
        <w:t>14</w:t>
      </w:r>
      <w:r>
        <w:rPr>
          <w:rFonts w:hint="eastAsia" w:asciiTheme="minorEastAsia" w:hAnsiTheme="minorEastAsia" w:eastAsiaTheme="minorEastAsia"/>
          <w:kern w:val="0"/>
          <w:sz w:val="24"/>
        </w:rPr>
        <w:t>个村，该项目资金必须按照上级要求，实行财政统一归口管理，做到专款专用，及时足额落实到位，并明确专门部门与人员搞好跟踪问效，并做好事前、事中、事后监管记录。资金拨付，先由财政所长签字负责掌握资金入库、缴税情况，办主任、分管领导签署项目实施情况后，报镇长批准后拨付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四、部门整体支出绩效情况分析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202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年，我镇根据年初工作规划及财政预算计划，积极履职、强化管理，较好的完成了年度工作目标。通过加强预算收支管理、不断建立健全内部管理制度、梳理内部管理流程，部门整体支出管理情况得到提升。我镇</w:t>
      </w:r>
      <w:r>
        <w:rPr>
          <w:rFonts w:asciiTheme="minorEastAsia" w:hAnsiTheme="minorEastAsia" w:eastAsiaTheme="minorEastAsia"/>
          <w:kern w:val="0"/>
          <w:sz w:val="24"/>
        </w:rPr>
        <w:t>20</w:t>
      </w: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年度部门整体支出绩效评价自评得分为</w:t>
      </w:r>
      <w:r>
        <w:rPr>
          <w:rFonts w:asciiTheme="minorEastAsia" w:hAnsiTheme="minorEastAsia" w:eastAsiaTheme="minorEastAsia"/>
          <w:kern w:val="0"/>
          <w:sz w:val="24"/>
        </w:rPr>
        <w:t>96</w:t>
      </w:r>
      <w:r>
        <w:rPr>
          <w:rFonts w:hint="eastAsia" w:asciiTheme="minorEastAsia" w:hAnsiTheme="minorEastAsia" w:eastAsiaTheme="minorEastAsia"/>
          <w:kern w:val="0"/>
          <w:sz w:val="24"/>
        </w:rPr>
        <w:t>分。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预算管理方面，编制内在职人员控制率小于</w:t>
      </w:r>
      <w:r>
        <w:rPr>
          <w:rFonts w:asciiTheme="minorEastAsia" w:hAnsiTheme="minorEastAsia" w:eastAsiaTheme="minorEastAsia"/>
          <w:kern w:val="0"/>
          <w:sz w:val="24"/>
        </w:rPr>
        <w:t>100%</w:t>
      </w:r>
      <w:r>
        <w:rPr>
          <w:rFonts w:hint="eastAsia" w:asciiTheme="minorEastAsia" w:hAnsiTheme="minorEastAsia" w:eastAsiaTheme="minorEastAsia"/>
          <w:kern w:val="0"/>
          <w:sz w:val="24"/>
        </w:rPr>
        <w:t>，支出总额控制在预算总额以内。制度执行总体较为有效，但仍需进一步强化，资金使用管理需进一步加强。</w:t>
      </w:r>
    </w:p>
    <w:p>
      <w:pPr>
        <w:widowControl/>
        <w:spacing w:line="594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资产管理方面，建立了资产管理制度，固定资产利用率高于</w:t>
      </w:r>
      <w:r>
        <w:rPr>
          <w:rFonts w:asciiTheme="minorEastAsia" w:hAnsiTheme="minorEastAsia" w:eastAsiaTheme="minorEastAsia"/>
          <w:kern w:val="0"/>
          <w:sz w:val="24"/>
        </w:rPr>
        <w:t>90%</w:t>
      </w:r>
      <w:r>
        <w:rPr>
          <w:rFonts w:hint="eastAsia" w:asciiTheme="minorEastAsia" w:hAnsiTheme="minorEastAsia" w:eastAsiaTheme="minorEastAsia"/>
          <w:kern w:val="0"/>
          <w:sz w:val="24"/>
        </w:rPr>
        <w:t>，定期进行了资产盘点和资产清理，总体执行情况良好。</w:t>
      </w:r>
    </w:p>
    <w:p>
      <w:pPr>
        <w:widowControl/>
        <w:spacing w:line="594" w:lineRule="exact"/>
        <w:ind w:firstLine="480" w:firstLineChars="20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项目支出</w:t>
      </w:r>
      <w:r>
        <w:rPr>
          <w:rFonts w:asciiTheme="minorEastAsia" w:hAnsiTheme="minorEastAsia" w:eastAsiaTheme="minorEastAsia"/>
          <w:kern w:val="0"/>
          <w:sz w:val="24"/>
        </w:rPr>
        <w:t>1889.18</w:t>
      </w:r>
      <w:r>
        <w:rPr>
          <w:rFonts w:hint="eastAsia" w:asciiTheme="minorEastAsia" w:hAnsiTheme="minorEastAsia" w:eastAsiaTheme="minorEastAsia"/>
          <w:kern w:val="0"/>
          <w:sz w:val="24"/>
        </w:rPr>
        <w:t>万元，主要是对村民委员会和村党支部的补助449.06万元，及时、达标的完成了支付，充分保障了村干办公、村委的正常合理支出，得到村干部及民众的好评。</w:t>
      </w:r>
    </w:p>
    <w:p>
      <w:pPr>
        <w:widowControl/>
        <w:spacing w:line="594" w:lineRule="exact"/>
        <w:ind w:firstLine="480" w:firstLineChars="200"/>
        <w:rPr>
          <w:rFonts w:hint="eastAsia" w:asciiTheme="minorEastAsia" w:hAnsiTheme="minorEastAsia" w:eastAsiaTheme="minorEastAsia"/>
          <w:kern w:val="0"/>
          <w:sz w:val="24"/>
        </w:rPr>
      </w:pPr>
      <w:bookmarkStart w:id="1" w:name="_GoBack"/>
      <w:bookmarkEnd w:id="1"/>
    </w:p>
    <w:p>
      <w:pPr>
        <w:widowControl/>
        <w:spacing w:line="594" w:lineRule="exact"/>
        <w:ind w:firstLine="480" w:firstLineChars="200"/>
        <w:jc w:val="righ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桃江县松木塘镇人民政府</w:t>
      </w:r>
    </w:p>
    <w:p>
      <w:pPr>
        <w:widowControl/>
        <w:spacing w:line="594" w:lineRule="exact"/>
        <w:ind w:firstLine="480" w:firstLineChars="200"/>
        <w:jc w:val="right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202</w:t>
      </w:r>
      <w:r>
        <w:rPr>
          <w:rFonts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年</w:t>
      </w:r>
      <w:r>
        <w:rPr>
          <w:rFonts w:asciiTheme="minorEastAsia" w:hAnsiTheme="minorEastAsia" w:eastAsiaTheme="minorEastAsia"/>
          <w:kern w:val="0"/>
          <w:sz w:val="24"/>
        </w:rPr>
        <w:t>11</w:t>
      </w:r>
      <w:r>
        <w:rPr>
          <w:rFonts w:hint="eastAsia" w:asciiTheme="minorEastAsia" w:hAnsiTheme="minorEastAsia" w:eastAsiaTheme="minorEastAsia"/>
          <w:kern w:val="0"/>
          <w:sz w:val="24"/>
        </w:rPr>
        <w:t>月1</w:t>
      </w:r>
      <w:r>
        <w:rPr>
          <w:rFonts w:asciiTheme="minorEastAsia" w:hAnsiTheme="minorEastAsia" w:eastAsiaTheme="minorEastAsia"/>
          <w:kern w:val="0"/>
          <w:sz w:val="24"/>
        </w:rPr>
        <w:t>5</w:t>
      </w:r>
      <w:r>
        <w:rPr>
          <w:rFonts w:hint="eastAsia" w:asciiTheme="minorEastAsia" w:hAnsiTheme="minorEastAsia" w:eastAsiaTheme="minorEastAsia"/>
          <w:kern w:val="0"/>
          <w:sz w:val="24"/>
        </w:rPr>
        <w:t>日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B9255A"/>
    <w:rsid w:val="00055A44"/>
    <w:rsid w:val="00082595"/>
    <w:rsid w:val="00220EA1"/>
    <w:rsid w:val="00283CB9"/>
    <w:rsid w:val="002C2D74"/>
    <w:rsid w:val="003B6F3B"/>
    <w:rsid w:val="003F6357"/>
    <w:rsid w:val="00523922"/>
    <w:rsid w:val="005E0E6D"/>
    <w:rsid w:val="00617A04"/>
    <w:rsid w:val="00762BFD"/>
    <w:rsid w:val="00791ACE"/>
    <w:rsid w:val="007E72EA"/>
    <w:rsid w:val="00846DEC"/>
    <w:rsid w:val="008A2269"/>
    <w:rsid w:val="009B2D40"/>
    <w:rsid w:val="00A430F7"/>
    <w:rsid w:val="00A91B53"/>
    <w:rsid w:val="00AE1525"/>
    <w:rsid w:val="00B9255A"/>
    <w:rsid w:val="00BB2194"/>
    <w:rsid w:val="00BF4B3E"/>
    <w:rsid w:val="00C744B7"/>
    <w:rsid w:val="00CE5C32"/>
    <w:rsid w:val="00DB213A"/>
    <w:rsid w:val="00EC0491"/>
    <w:rsid w:val="00ED5D94"/>
    <w:rsid w:val="00FB1785"/>
    <w:rsid w:val="19A90441"/>
    <w:rsid w:val="4BF576D4"/>
    <w:rsid w:val="51DA0B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292</Words>
  <Characters>1669</Characters>
  <Lines>13</Lines>
  <Paragraphs>3</Paragraphs>
  <TotalTime>86</TotalTime>
  <ScaleCrop>false</ScaleCrop>
  <LinksUpToDate>false</LinksUpToDate>
  <CharactersWithSpaces>1958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2020-11-24T01:41:00Z</dcterms:created>
  <dc:creator>AutoBVT</dc:creator>
  <cp:lastModifiedBy>DELL</cp:lastModifiedBy>
  <dcterms:modified xsi:type="dcterms:W3CDTF">2023-08-15T03:12:30Z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09FDA2B88DCB4F3189BFB2805EA079AE_12</vt:lpwstr>
  </property>
</Properties>
</file>