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部门整体支出绩效报告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为进一步加强财政支出的监督管理，规范支出预算执行，提高财政资金使用效益，全面推进预算绩效管理，我镇对</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年度财政性资金整体使用情况进行了绩效自评，现将有关情况报告如下：</w:t>
      </w:r>
    </w:p>
    <w:p>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仿宋_GB2312" w:eastAsia="仿宋_GB2312"/>
          <w:b/>
          <w:sz w:val="32"/>
          <w:szCs w:val="32"/>
        </w:rPr>
      </w:pPr>
      <w:r>
        <w:rPr>
          <w:rFonts w:hint="eastAsia" w:ascii="仿宋_GB2312" w:eastAsia="仿宋_GB2312"/>
          <w:b/>
          <w:sz w:val="32"/>
          <w:szCs w:val="32"/>
        </w:rPr>
        <w:t>部门</w:t>
      </w:r>
      <w:r>
        <w:rPr>
          <w:rFonts w:hint="eastAsia" w:ascii="仿宋_GB2312" w:eastAsia="仿宋_GB2312"/>
          <w:b/>
          <w:sz w:val="32"/>
          <w:szCs w:val="32"/>
          <w:lang w:eastAsia="zh-CN"/>
        </w:rPr>
        <w:t>概况</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eastAsia="仿宋_GB2312"/>
          <w:b/>
          <w:sz w:val="32"/>
          <w:szCs w:val="32"/>
        </w:rPr>
      </w:pPr>
      <w:r>
        <w:rPr>
          <w:rFonts w:hint="eastAsia" w:ascii="仿宋_GB2312" w:eastAsia="仿宋_GB2312"/>
          <w:b/>
          <w:sz w:val="32"/>
          <w:szCs w:val="32"/>
          <w:lang w:eastAsia="zh-CN"/>
        </w:rPr>
        <w:t>（一）部门基本情况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仿宋_GB2312" w:eastAsia="仿宋_GB2312"/>
          <w:sz w:val="32"/>
          <w:szCs w:val="32"/>
        </w:rPr>
      </w:pPr>
      <w:r>
        <w:rPr>
          <w:rFonts w:hint="eastAsia" w:ascii="仿宋_GB2312" w:eastAsia="仿宋_GB2312"/>
          <w:sz w:val="32"/>
          <w:szCs w:val="32"/>
        </w:rPr>
        <w:t>马迹塘镇政府下设机关机构包括党政办、</w:t>
      </w:r>
      <w:r>
        <w:rPr>
          <w:rFonts w:hint="eastAsia" w:ascii="仿宋_GB2312" w:eastAsia="仿宋_GB2312"/>
          <w:sz w:val="32"/>
          <w:szCs w:val="32"/>
          <w:lang w:eastAsia="zh-CN"/>
        </w:rPr>
        <w:t>党建</w:t>
      </w:r>
      <w:r>
        <w:rPr>
          <w:rFonts w:hint="eastAsia" w:ascii="仿宋_GB2312" w:eastAsia="仿宋_GB2312"/>
          <w:sz w:val="32"/>
          <w:szCs w:val="32"/>
        </w:rPr>
        <w:t>办、经济发展办公室</w:t>
      </w:r>
      <w:r>
        <w:rPr>
          <w:rFonts w:hint="eastAsia" w:ascii="仿宋_GB2312" w:eastAsia="仿宋_GB2312"/>
          <w:sz w:val="32"/>
          <w:szCs w:val="32"/>
          <w:lang w:eastAsia="zh-CN"/>
        </w:rPr>
        <w:t>、</w:t>
      </w:r>
      <w:r>
        <w:rPr>
          <w:rFonts w:hint="eastAsia" w:ascii="仿宋_GB2312" w:eastAsia="仿宋_GB2312"/>
          <w:sz w:val="32"/>
          <w:szCs w:val="32"/>
        </w:rPr>
        <w:t>社会事务办</w:t>
      </w:r>
      <w:r>
        <w:rPr>
          <w:rFonts w:hint="eastAsia" w:ascii="仿宋_GB2312" w:eastAsia="仿宋_GB2312"/>
          <w:sz w:val="32"/>
          <w:szCs w:val="32"/>
          <w:lang w:eastAsia="zh-CN"/>
        </w:rPr>
        <w:t>、</w:t>
      </w:r>
      <w:r>
        <w:rPr>
          <w:rFonts w:hint="eastAsia" w:ascii="仿宋_GB2312" w:eastAsia="仿宋_GB2312"/>
          <w:sz w:val="32"/>
          <w:szCs w:val="32"/>
        </w:rPr>
        <w:t>自然资源和生态环境办</w:t>
      </w:r>
      <w:r>
        <w:rPr>
          <w:rFonts w:hint="eastAsia" w:ascii="仿宋_GB2312" w:eastAsia="仿宋_GB2312"/>
          <w:sz w:val="32"/>
          <w:szCs w:val="32"/>
          <w:lang w:eastAsia="zh-CN"/>
        </w:rPr>
        <w:t>、</w:t>
      </w:r>
      <w:r>
        <w:rPr>
          <w:rFonts w:hint="eastAsia" w:ascii="仿宋_GB2312" w:eastAsia="仿宋_GB2312"/>
          <w:sz w:val="32"/>
          <w:szCs w:val="32"/>
        </w:rPr>
        <w:t>社会治安和应急管理办</w:t>
      </w:r>
      <w:r>
        <w:rPr>
          <w:rFonts w:hint="eastAsia" w:ascii="仿宋_GB2312" w:eastAsia="仿宋_GB2312"/>
          <w:sz w:val="32"/>
          <w:szCs w:val="32"/>
          <w:lang w:eastAsia="zh-CN"/>
        </w:rPr>
        <w:t>、</w:t>
      </w:r>
      <w:r>
        <w:rPr>
          <w:rFonts w:hint="eastAsia" w:ascii="仿宋_GB2312" w:eastAsia="仿宋_GB2312"/>
          <w:sz w:val="32"/>
          <w:szCs w:val="32"/>
        </w:rPr>
        <w:t>财政财务管理办</w:t>
      </w:r>
      <w:r>
        <w:rPr>
          <w:rFonts w:hint="eastAsia" w:ascii="仿宋_GB2312" w:eastAsia="仿宋_GB2312"/>
          <w:sz w:val="32"/>
          <w:szCs w:val="32"/>
          <w:lang w:eastAsia="zh-CN"/>
        </w:rPr>
        <w:t>、</w:t>
      </w:r>
      <w:r>
        <w:rPr>
          <w:rFonts w:hint="eastAsia" w:ascii="仿宋_GB2312" w:eastAsia="仿宋_GB2312"/>
          <w:sz w:val="32"/>
          <w:szCs w:val="32"/>
        </w:rPr>
        <w:t>综合执法大队</w:t>
      </w:r>
      <w:r>
        <w:rPr>
          <w:rFonts w:hint="eastAsia" w:ascii="仿宋_GB2312" w:eastAsia="仿宋_GB2312"/>
          <w:sz w:val="32"/>
          <w:szCs w:val="32"/>
          <w:lang w:eastAsia="zh-CN"/>
        </w:rPr>
        <w:t>、</w:t>
      </w:r>
      <w:r>
        <w:rPr>
          <w:rFonts w:hint="eastAsia" w:ascii="仿宋_GB2312" w:eastAsia="仿宋_GB2312"/>
          <w:sz w:val="32"/>
          <w:szCs w:val="32"/>
        </w:rPr>
        <w:t>社会事务综合服务中心</w:t>
      </w:r>
      <w:r>
        <w:rPr>
          <w:rFonts w:hint="eastAsia" w:ascii="仿宋_GB2312" w:eastAsia="仿宋_GB2312"/>
          <w:sz w:val="32"/>
          <w:szCs w:val="32"/>
          <w:lang w:eastAsia="zh-CN"/>
        </w:rPr>
        <w:t>、</w:t>
      </w:r>
      <w:r>
        <w:rPr>
          <w:rFonts w:hint="eastAsia" w:ascii="仿宋_GB2312" w:eastAsia="仿宋_GB2312"/>
          <w:sz w:val="32"/>
          <w:szCs w:val="32"/>
        </w:rPr>
        <w:t>农业综合服务中心</w:t>
      </w:r>
      <w:r>
        <w:rPr>
          <w:rFonts w:hint="eastAsia" w:ascii="仿宋_GB2312" w:eastAsia="仿宋_GB2312"/>
          <w:sz w:val="32"/>
          <w:szCs w:val="32"/>
          <w:lang w:eastAsia="zh-CN"/>
        </w:rPr>
        <w:t>、</w:t>
      </w:r>
      <w:r>
        <w:rPr>
          <w:rFonts w:hint="eastAsia" w:ascii="仿宋_GB2312" w:eastAsia="仿宋_GB2312"/>
          <w:sz w:val="32"/>
          <w:szCs w:val="32"/>
        </w:rPr>
        <w:t>党群和政务服务中心</w:t>
      </w:r>
      <w:r>
        <w:rPr>
          <w:rFonts w:hint="eastAsia" w:ascii="仿宋_GB2312" w:eastAsia="仿宋_GB2312"/>
          <w:sz w:val="32"/>
          <w:szCs w:val="32"/>
          <w:lang w:eastAsia="zh-CN"/>
        </w:rPr>
        <w:t>、</w:t>
      </w:r>
      <w:r>
        <w:rPr>
          <w:rFonts w:hint="eastAsia" w:ascii="仿宋_GB2312" w:eastAsia="仿宋_GB2312"/>
          <w:sz w:val="32"/>
          <w:szCs w:val="32"/>
        </w:rPr>
        <w:t>退役军人服务站等办站所，属行政机关。</w:t>
      </w:r>
    </w:p>
    <w:p>
      <w:pPr>
        <w:pStyle w:val="3"/>
        <w:keepNext w:val="0"/>
        <w:keepLines w:val="0"/>
        <w:widowControl/>
        <w:suppressLineNumbers w:val="0"/>
        <w:spacing w:before="0" w:beforeAutospacing="0" w:after="0" w:afterAutospacing="0" w:line="450" w:lineRule="atLeast"/>
        <w:ind w:left="0" w:right="0" w:firstLine="480"/>
        <w:jc w:val="left"/>
        <w:rPr>
          <w:rFonts w:ascii="仿宋_GB2312" w:hAnsi="Times New Roman" w:eastAsia="仿宋_GB2312"/>
          <w:kern w:val="2"/>
          <w:sz w:val="32"/>
          <w:szCs w:val="32"/>
          <w:lang w:val="en-US" w:eastAsia="zh-CN"/>
        </w:rPr>
      </w:pPr>
      <w:r>
        <w:rPr>
          <w:rFonts w:hint="eastAsia" w:ascii="仿宋_GB2312" w:hAnsi="Times New Roman" w:eastAsia="仿宋_GB2312"/>
          <w:kern w:val="2"/>
          <w:sz w:val="32"/>
          <w:szCs w:val="32"/>
          <w:lang w:val="en-US" w:eastAsia="zh-CN"/>
        </w:rPr>
        <w:t>2021年马迹塘镇人民政府</w:t>
      </w:r>
      <w:r>
        <w:rPr>
          <w:rFonts w:ascii="仿宋_GB2312" w:hAnsi="Times New Roman" w:eastAsia="仿宋_GB2312"/>
          <w:kern w:val="2"/>
          <w:sz w:val="32"/>
          <w:szCs w:val="32"/>
          <w:lang w:val="en-US" w:eastAsia="zh-CN"/>
        </w:rPr>
        <w:t>编制人数</w:t>
      </w:r>
      <w:r>
        <w:rPr>
          <w:rFonts w:hint="eastAsia" w:ascii="仿宋_GB2312" w:hAnsi="Times New Roman" w:eastAsia="仿宋_GB2312"/>
          <w:kern w:val="2"/>
          <w:sz w:val="32"/>
          <w:szCs w:val="32"/>
          <w:lang w:val="en-US" w:eastAsia="zh-CN"/>
        </w:rPr>
        <w:t>141</w:t>
      </w:r>
      <w:r>
        <w:rPr>
          <w:rFonts w:ascii="仿宋_GB2312" w:hAnsi="Times New Roman" w:eastAsia="仿宋_GB2312"/>
          <w:kern w:val="2"/>
          <w:sz w:val="32"/>
          <w:szCs w:val="32"/>
          <w:lang w:val="en-US" w:eastAsia="zh-CN"/>
        </w:rPr>
        <w:t>人（其中行政编制</w:t>
      </w:r>
      <w:r>
        <w:rPr>
          <w:rFonts w:hint="eastAsia" w:ascii="仿宋_GB2312" w:hAnsi="Times New Roman" w:eastAsia="仿宋_GB2312"/>
          <w:kern w:val="2"/>
          <w:sz w:val="32"/>
          <w:szCs w:val="32"/>
          <w:lang w:val="en-US" w:eastAsia="zh-CN"/>
        </w:rPr>
        <w:t>66</w:t>
      </w:r>
      <w:r>
        <w:rPr>
          <w:rFonts w:ascii="仿宋_GB2312" w:hAnsi="Times New Roman" w:eastAsia="仿宋_GB2312"/>
          <w:kern w:val="2"/>
          <w:sz w:val="32"/>
          <w:szCs w:val="32"/>
          <w:lang w:val="en-US" w:eastAsia="zh-CN"/>
        </w:rPr>
        <w:t>人、全额事业编制</w:t>
      </w:r>
      <w:r>
        <w:rPr>
          <w:rFonts w:hint="eastAsia" w:ascii="仿宋_GB2312" w:hAnsi="Times New Roman" w:eastAsia="仿宋_GB2312"/>
          <w:kern w:val="2"/>
          <w:sz w:val="32"/>
          <w:szCs w:val="32"/>
          <w:lang w:val="en-US" w:eastAsia="zh-CN"/>
        </w:rPr>
        <w:t>72</w:t>
      </w:r>
      <w:r>
        <w:rPr>
          <w:rFonts w:ascii="仿宋_GB2312" w:hAnsi="Times New Roman" w:eastAsia="仿宋_GB2312"/>
          <w:kern w:val="2"/>
          <w:sz w:val="32"/>
          <w:szCs w:val="32"/>
          <w:lang w:val="en-US" w:eastAsia="zh-CN"/>
        </w:rPr>
        <w:t>人</w:t>
      </w:r>
      <w:r>
        <w:rPr>
          <w:rFonts w:hint="eastAsia" w:ascii="仿宋_GB2312" w:hAnsi="Times New Roman" w:eastAsia="仿宋_GB2312"/>
          <w:kern w:val="2"/>
          <w:sz w:val="32"/>
          <w:szCs w:val="32"/>
          <w:lang w:val="en-US" w:eastAsia="zh-CN"/>
        </w:rPr>
        <w:t>、工勤编制3人），实有在职人员员128人（其中行政和参公56人、全额事业在职66人、自收自支事业在职6人）；退休人员99人。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主要职能是贯彻落实国家政策，严格依法行政；实施社会公共管理，提供社会公共服务；发展镇村经济、文化和社会事业；维护社会秩序，确保社会稳定</w:t>
      </w:r>
      <w:r>
        <w:rPr>
          <w:rFonts w:hint="eastAsia" w:ascii="仿宋_GB2312" w:eastAsia="仿宋_GB2312"/>
          <w:sz w:val="32"/>
          <w:szCs w:val="32"/>
          <w:lang w:eastAsia="zh-CN"/>
        </w:rPr>
        <w:t>；按计划组织本镇财政收入和税收收入的征收，完成国家财政计划；制定并部署重点工程建设等。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2021年</w:t>
      </w:r>
      <w:r>
        <w:rPr>
          <w:rFonts w:hint="eastAsia" w:ascii="仿宋_GB2312" w:eastAsia="仿宋_GB2312"/>
          <w:sz w:val="32"/>
          <w:szCs w:val="32"/>
          <w:lang w:eastAsia="zh-CN"/>
        </w:rPr>
        <w:t>重点工作计划：完成县下达的农村公路硬化、危桥改造任务；完成马迹塘天府庙社区仙洲路棚户区改造项目；马迹塘镇镇区横公路、老街污水管网建设、自来水厂取水泵房及输水管道建设工程项目、一事一议项目、</w:t>
      </w:r>
      <w:r>
        <w:rPr>
          <w:rFonts w:hint="eastAsia" w:ascii="仿宋_GB2312" w:eastAsia="仿宋_GB2312"/>
          <w:sz w:val="32"/>
          <w:szCs w:val="32"/>
          <w:lang w:val="en-US" w:eastAsia="zh-CN"/>
        </w:rPr>
        <w:t>农村环境综合整治项目、</w:t>
      </w:r>
      <w:r>
        <w:rPr>
          <w:rFonts w:hint="eastAsia" w:ascii="仿宋_GB2312" w:eastAsia="仿宋_GB2312"/>
          <w:sz w:val="32"/>
          <w:szCs w:val="32"/>
          <w:lang w:eastAsia="zh-CN"/>
        </w:rPr>
        <w:t>市级土地整治及灾毁项目等。</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color w:val="auto"/>
          <w:sz w:val="32"/>
          <w:szCs w:val="32"/>
        </w:rPr>
      </w:pPr>
      <w:r>
        <w:rPr>
          <w:rFonts w:hint="eastAsia" w:ascii="仿宋_GB2312" w:eastAsia="仿宋_GB2312"/>
          <w:b/>
          <w:color w:val="auto"/>
          <w:sz w:val="32"/>
          <w:szCs w:val="32"/>
          <w:lang w:eastAsia="zh-CN"/>
        </w:rPr>
        <w:t>（二）</w:t>
      </w:r>
      <w:r>
        <w:rPr>
          <w:rFonts w:hint="eastAsia" w:ascii="仿宋_GB2312" w:eastAsia="仿宋_GB2312"/>
          <w:b/>
          <w:color w:val="auto"/>
          <w:sz w:val="32"/>
          <w:szCs w:val="32"/>
        </w:rPr>
        <w:t>部门整体支出规模、使用方向和主要内容、涉及范围等。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auto"/>
          <w:kern w:val="0"/>
          <w:sz w:val="32"/>
          <w:szCs w:val="32"/>
          <w:lang w:val="en-US" w:eastAsia="zh-CN" w:bidi="ar"/>
        </w:rPr>
      </w:pPr>
      <w:r>
        <w:rPr>
          <w:rFonts w:hint="eastAsia" w:ascii="仿宋_GB2312" w:hAnsi="微软雅黑" w:eastAsia="仿宋_GB2312" w:cs="微软雅黑"/>
          <w:color w:val="auto"/>
          <w:kern w:val="0"/>
          <w:sz w:val="32"/>
          <w:szCs w:val="32"/>
          <w:lang w:val="en-US" w:eastAsia="zh-CN" w:bidi="ar"/>
        </w:rPr>
        <w:t>全年预算完成财政收入</w:t>
      </w:r>
      <w:r>
        <w:rPr>
          <w:rFonts w:hint="eastAsia" w:ascii="仿宋_GB2312" w:hAnsi="微软雅黑" w:cs="微软雅黑"/>
          <w:color w:val="auto"/>
          <w:kern w:val="0"/>
          <w:sz w:val="32"/>
          <w:szCs w:val="32"/>
          <w:lang w:val="en-US" w:eastAsia="zh-CN" w:bidi="ar"/>
        </w:rPr>
        <w:t>1994</w:t>
      </w:r>
      <w:r>
        <w:rPr>
          <w:rFonts w:hint="eastAsia" w:ascii="仿宋_GB2312" w:hAnsi="微软雅黑" w:eastAsia="仿宋_GB2312" w:cs="微软雅黑"/>
          <w:color w:val="auto"/>
          <w:kern w:val="0"/>
          <w:sz w:val="32"/>
          <w:szCs w:val="32"/>
          <w:lang w:val="en-US" w:eastAsia="zh-CN" w:bidi="ar"/>
        </w:rPr>
        <w:t>万元；其中：</w:t>
      </w:r>
      <w:r>
        <w:rPr>
          <w:rFonts w:hint="eastAsia" w:ascii="仿宋_GB2312" w:hAnsi="微软雅黑" w:eastAsia="仿宋_GB2312" w:cs="微软雅黑"/>
          <w:color w:val="auto"/>
          <w:kern w:val="0"/>
          <w:sz w:val="32"/>
          <w:szCs w:val="32"/>
          <w:highlight w:val="none"/>
          <w:lang w:val="en-US" w:eastAsia="zh-CN" w:bidi="ar"/>
        </w:rPr>
        <w:t>基本支出1299.5万元，项目支出</w:t>
      </w:r>
      <w:r>
        <w:rPr>
          <w:rFonts w:hint="eastAsia" w:ascii="仿宋_GB2312" w:hAnsi="微软雅黑" w:cs="微软雅黑"/>
          <w:color w:val="auto"/>
          <w:kern w:val="0"/>
          <w:sz w:val="32"/>
          <w:szCs w:val="32"/>
          <w:highlight w:val="none"/>
          <w:lang w:val="en-US" w:eastAsia="zh-CN" w:bidi="ar"/>
        </w:rPr>
        <w:t>694.5</w:t>
      </w:r>
      <w:r>
        <w:rPr>
          <w:rFonts w:hint="eastAsia" w:ascii="仿宋_GB2312" w:hAnsi="微软雅黑" w:eastAsia="仿宋_GB2312" w:cs="微软雅黑"/>
          <w:color w:val="auto"/>
          <w:kern w:val="0"/>
          <w:sz w:val="32"/>
          <w:szCs w:val="32"/>
          <w:highlight w:val="none"/>
          <w:lang w:val="en-US" w:eastAsia="zh-CN" w:bidi="ar"/>
        </w:rPr>
        <w:t>万元，</w:t>
      </w:r>
      <w:r>
        <w:rPr>
          <w:rFonts w:hint="eastAsia" w:ascii="仿宋_GB2312" w:hAnsi="微软雅黑" w:eastAsia="仿宋_GB2312" w:cs="微软雅黑"/>
          <w:color w:val="auto"/>
          <w:kern w:val="0"/>
          <w:sz w:val="32"/>
          <w:szCs w:val="32"/>
          <w:lang w:val="en-US" w:eastAsia="zh-CN" w:bidi="ar"/>
        </w:rPr>
        <w:t>当年可用财力</w:t>
      </w:r>
      <w:r>
        <w:rPr>
          <w:rFonts w:hint="eastAsia" w:ascii="仿宋_GB2312" w:hAnsi="微软雅黑" w:cs="微软雅黑"/>
          <w:color w:val="auto"/>
          <w:kern w:val="0"/>
          <w:sz w:val="32"/>
          <w:szCs w:val="32"/>
          <w:lang w:val="en-US" w:eastAsia="zh-CN" w:bidi="ar"/>
        </w:rPr>
        <w:t>1994</w:t>
      </w:r>
      <w:r>
        <w:rPr>
          <w:rFonts w:hint="eastAsia" w:ascii="仿宋_GB2312" w:hAnsi="微软雅黑" w:eastAsia="仿宋_GB2312" w:cs="微软雅黑"/>
          <w:color w:val="auto"/>
          <w:kern w:val="0"/>
          <w:sz w:val="32"/>
          <w:szCs w:val="32"/>
          <w:lang w:val="en-US" w:eastAsia="zh-CN" w:bidi="ar"/>
        </w:rPr>
        <w:t>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auto"/>
          <w:kern w:val="0"/>
          <w:sz w:val="32"/>
          <w:szCs w:val="32"/>
          <w:lang w:val="en-US" w:eastAsia="zh-CN" w:bidi="ar"/>
        </w:rPr>
      </w:pPr>
      <w:r>
        <w:rPr>
          <w:rFonts w:hint="eastAsia" w:ascii="仿宋_GB2312" w:hAnsi="微软雅黑" w:eastAsia="仿宋_GB2312" w:cs="微软雅黑"/>
          <w:color w:val="auto"/>
          <w:kern w:val="0"/>
          <w:sz w:val="32"/>
          <w:szCs w:val="32"/>
          <w:lang w:val="en-US" w:eastAsia="zh-CN" w:bidi="ar"/>
        </w:rPr>
        <w:t>全年预算总支出</w:t>
      </w:r>
      <w:r>
        <w:rPr>
          <w:rFonts w:hint="eastAsia" w:ascii="仿宋_GB2312" w:hAnsi="微软雅黑" w:cs="微软雅黑"/>
          <w:color w:val="auto"/>
          <w:kern w:val="0"/>
          <w:sz w:val="32"/>
          <w:szCs w:val="32"/>
          <w:lang w:val="en-US" w:eastAsia="zh-CN" w:bidi="ar"/>
        </w:rPr>
        <w:t>1994</w:t>
      </w:r>
      <w:r>
        <w:rPr>
          <w:rFonts w:hint="eastAsia" w:ascii="仿宋_GB2312" w:hAnsi="微软雅黑" w:eastAsia="仿宋_GB2312" w:cs="微软雅黑"/>
          <w:color w:val="auto"/>
          <w:kern w:val="0"/>
          <w:sz w:val="32"/>
          <w:szCs w:val="32"/>
          <w:lang w:val="en-US" w:eastAsia="zh-CN" w:bidi="ar"/>
        </w:rPr>
        <w:t>万元，其中公用经费共1299.5万元，公用经费是为保障各部门正常运转、完成日常工作任务而发生的各项支出，其中包括工资福利支出1080.09万元，对个人和家庭补助26.8万元，商品和服务支出192.61万元（其中：办公费用</w:t>
      </w:r>
      <w:r>
        <w:rPr>
          <w:rFonts w:hint="eastAsia" w:ascii="仿宋_GB2312" w:hAnsi="微软雅黑" w:cs="微软雅黑"/>
          <w:color w:val="auto"/>
          <w:kern w:val="0"/>
          <w:sz w:val="32"/>
          <w:szCs w:val="32"/>
          <w:lang w:val="en-US" w:eastAsia="zh-CN" w:bidi="ar"/>
        </w:rPr>
        <w:t>148.31</w:t>
      </w:r>
      <w:r>
        <w:rPr>
          <w:rFonts w:hint="eastAsia" w:ascii="仿宋_GB2312" w:hAnsi="微软雅黑" w:eastAsia="仿宋_GB2312" w:cs="微软雅黑"/>
          <w:color w:val="auto"/>
          <w:kern w:val="0"/>
          <w:sz w:val="32"/>
          <w:szCs w:val="32"/>
          <w:lang w:val="en-US" w:eastAsia="zh-CN" w:bidi="ar"/>
        </w:rPr>
        <w:t>万元，三公经费44.3万元）。项目支出合计</w:t>
      </w:r>
      <w:r>
        <w:rPr>
          <w:rFonts w:hint="eastAsia" w:ascii="仿宋_GB2312" w:hAnsi="微软雅黑" w:cs="微软雅黑"/>
          <w:color w:val="auto"/>
          <w:kern w:val="0"/>
          <w:sz w:val="32"/>
          <w:szCs w:val="32"/>
          <w:lang w:val="en-US" w:eastAsia="zh-CN" w:bidi="ar"/>
        </w:rPr>
        <w:t>694.5</w:t>
      </w:r>
      <w:r>
        <w:rPr>
          <w:rFonts w:hint="eastAsia" w:ascii="仿宋_GB2312" w:hAnsi="微软雅黑" w:eastAsia="仿宋_GB2312" w:cs="微软雅黑"/>
          <w:color w:val="auto"/>
          <w:kern w:val="0"/>
          <w:sz w:val="32"/>
          <w:szCs w:val="32"/>
          <w:lang w:val="en-US" w:eastAsia="zh-CN" w:bidi="ar"/>
        </w:rPr>
        <w:t>万元。</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sz w:val="32"/>
          <w:szCs w:val="32"/>
          <w:lang w:eastAsia="zh-CN"/>
        </w:rPr>
      </w:pPr>
      <w:r>
        <w:rPr>
          <w:rFonts w:hint="eastAsia" w:ascii="仿宋_GB2312" w:eastAsia="仿宋_GB2312"/>
          <w:b/>
          <w:color w:val="auto"/>
          <w:sz w:val="32"/>
          <w:szCs w:val="32"/>
          <w:lang w:eastAsia="zh-CN"/>
        </w:rPr>
        <w:t>（三）项目绩效目标设立情况，主要包括部门中长期绩效目标和</w:t>
      </w:r>
      <w:r>
        <w:rPr>
          <w:rFonts w:hint="eastAsia" w:ascii="仿宋_GB2312" w:eastAsia="仿宋_GB2312"/>
          <w:b/>
          <w:sz w:val="32"/>
          <w:szCs w:val="32"/>
          <w:lang w:eastAsia="zh-CN"/>
        </w:rPr>
        <w:t>年度绩效目标。</w:t>
      </w:r>
    </w:p>
    <w:p>
      <w:pPr>
        <w:keepNext w:val="0"/>
        <w:keepLines w:val="0"/>
        <w:pageBreakBefore w:val="0"/>
        <w:kinsoku/>
        <w:wordWrap/>
        <w:overflowPunct/>
        <w:topLinePunct w:val="0"/>
        <w:autoSpaceDE/>
        <w:autoSpaceDN/>
        <w:bidi w:val="0"/>
        <w:adjustRightInd/>
        <w:snapToGrid/>
        <w:spacing w:line="540" w:lineRule="exact"/>
        <w:ind w:firstLine="960" w:firstLineChars="300"/>
        <w:textAlignment w:val="auto"/>
        <w:rPr>
          <w:rFonts w:hint="eastAsia" w:ascii="仿宋_GB2312" w:hAnsi="微软雅黑" w:eastAsia="仿宋_GB2312" w:cs="微软雅黑"/>
          <w:color w:val="333333"/>
          <w:kern w:val="0"/>
          <w:sz w:val="32"/>
          <w:szCs w:val="32"/>
          <w:lang w:val="en-US" w:eastAsia="zh-CN" w:bidi="ar"/>
        </w:rPr>
      </w:pPr>
      <w:r>
        <w:rPr>
          <w:rFonts w:hint="eastAsia" w:ascii="仿宋_GB2312" w:hAnsi="微软雅黑" w:eastAsia="仿宋_GB2312" w:cs="微软雅黑"/>
          <w:color w:val="333333"/>
          <w:kern w:val="0"/>
          <w:sz w:val="32"/>
          <w:szCs w:val="32"/>
          <w:lang w:val="en-US" w:eastAsia="zh-CN" w:bidi="ar"/>
        </w:rPr>
        <w:t>目标：执行镇人民代表大会的决议和上级国家行政机关的决定和命令；发展和管理本镇的经济、教育、科学、文化、卫生、体育事业和财政、民政、公安、司法行政、计划生育等行政工作；维护社会秩序，确保社会稳定，保障公民的人身权利、民主权利和其他权利；制定并部署重点工程建设、基础设施建设等；办理上级县委、县政府政府交办的其他事项；全年实现财政总收入</w:t>
      </w:r>
      <w:r>
        <w:rPr>
          <w:rFonts w:hint="eastAsia" w:ascii="仿宋_GB2312" w:hAnsi="微软雅黑" w:cs="微软雅黑"/>
          <w:color w:val="auto"/>
          <w:kern w:val="0"/>
          <w:sz w:val="32"/>
          <w:szCs w:val="32"/>
          <w:lang w:val="en-US" w:eastAsia="zh-CN" w:bidi="ar"/>
        </w:rPr>
        <w:t>1994</w:t>
      </w:r>
      <w:r>
        <w:rPr>
          <w:rFonts w:hint="eastAsia" w:ascii="仿宋_GB2312" w:hAnsi="微软雅黑" w:eastAsia="仿宋_GB2312" w:cs="微软雅黑"/>
          <w:color w:val="333333"/>
          <w:kern w:val="0"/>
          <w:sz w:val="32"/>
          <w:szCs w:val="32"/>
          <w:lang w:val="en-US" w:eastAsia="zh-CN" w:bidi="ar"/>
        </w:rPr>
        <w:t>万元。</w:t>
      </w:r>
    </w:p>
    <w:p>
      <w:pPr>
        <w:keepNext w:val="0"/>
        <w:keepLines w:val="0"/>
        <w:pageBreakBefore w:val="0"/>
        <w:numPr>
          <w:ilvl w:val="0"/>
          <w:numId w:val="2"/>
        </w:numPr>
        <w:kinsoku/>
        <w:wordWrap/>
        <w:overflowPunct/>
        <w:topLinePunct w:val="0"/>
        <w:autoSpaceDE/>
        <w:autoSpaceDN/>
        <w:bidi w:val="0"/>
        <w:adjustRightInd/>
        <w:snapToGrid/>
        <w:spacing w:line="540" w:lineRule="exact"/>
        <w:ind w:leftChars="0"/>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部门整体支出管理及使用情况分析</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（一）基本支出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333333"/>
          <w:kern w:val="0"/>
          <w:sz w:val="32"/>
          <w:szCs w:val="32"/>
          <w:lang w:val="en-US" w:eastAsia="zh-CN" w:bidi="ar"/>
        </w:rPr>
      </w:pPr>
      <w:r>
        <w:rPr>
          <w:rFonts w:hint="eastAsia" w:ascii="仿宋_GB2312" w:hAnsi="微软雅黑" w:eastAsia="仿宋_GB2312" w:cs="微软雅黑"/>
          <w:color w:val="333333"/>
          <w:kern w:val="0"/>
          <w:sz w:val="32"/>
          <w:szCs w:val="32"/>
          <w:lang w:val="en-US" w:eastAsia="zh-CN" w:bidi="ar"/>
        </w:rPr>
        <w:t>我镇基本支出的范围和主要用途包括机关的人员经费和日常公用经费</w:t>
      </w:r>
      <w:r>
        <w:rPr>
          <w:rFonts w:hint="eastAsia" w:ascii="仿宋_GB2312" w:hAnsi="微软雅黑" w:cs="微软雅黑"/>
          <w:color w:val="333333"/>
          <w:kern w:val="0"/>
          <w:sz w:val="32"/>
          <w:szCs w:val="32"/>
          <w:lang w:val="en-US" w:eastAsia="zh-CN" w:bidi="ar"/>
        </w:rPr>
        <w:t>。</w:t>
      </w:r>
      <w:r>
        <w:rPr>
          <w:rFonts w:hint="eastAsia" w:ascii="仿宋_GB2312" w:hAnsi="微软雅黑" w:eastAsia="仿宋_GB2312" w:cs="微软雅黑"/>
          <w:color w:val="333333"/>
          <w:kern w:val="0"/>
          <w:sz w:val="32"/>
          <w:szCs w:val="32"/>
          <w:lang w:val="en-US" w:eastAsia="zh-CN" w:bidi="ar"/>
        </w:rPr>
        <w:t>主要用于保障职工基本工资、津贴补贴、奖金、乡镇工作补贴、社会保障缴费、其他工资福利支出等工资福利支出、办公费、三公经费等商品和服务支出、遗属人员生活补助、独生子女奖励金等对个人和家庭的补助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333333"/>
          <w:kern w:val="0"/>
          <w:sz w:val="32"/>
          <w:szCs w:val="32"/>
          <w:lang w:val="en-US" w:eastAsia="zh-CN" w:bidi="ar"/>
        </w:rPr>
      </w:pPr>
      <w:r>
        <w:rPr>
          <w:rFonts w:hint="eastAsia" w:ascii="仿宋_GB2312" w:hAnsi="微软雅黑" w:eastAsia="仿宋_GB2312" w:cs="微软雅黑"/>
          <w:color w:val="333333"/>
          <w:kern w:val="0"/>
          <w:sz w:val="32"/>
          <w:szCs w:val="32"/>
          <w:lang w:val="en-US" w:eastAsia="zh-CN" w:bidi="ar"/>
        </w:rPr>
        <w:t>1、</w:t>
      </w:r>
      <w:r>
        <w:rPr>
          <w:rFonts w:hint="eastAsia" w:ascii="仿宋_GB2312" w:hAnsi="微软雅黑" w:cs="微软雅黑"/>
          <w:color w:val="333333"/>
          <w:kern w:val="0"/>
          <w:sz w:val="32"/>
          <w:szCs w:val="32"/>
          <w:lang w:val="en-US" w:eastAsia="zh-CN" w:bidi="ar"/>
        </w:rPr>
        <w:t>基本支出</w:t>
      </w:r>
      <w:r>
        <w:rPr>
          <w:rFonts w:hint="eastAsia" w:ascii="仿宋_GB2312" w:hAnsi="微软雅黑" w:eastAsia="仿宋_GB2312" w:cs="微软雅黑"/>
          <w:color w:val="333333"/>
          <w:kern w:val="0"/>
          <w:sz w:val="32"/>
          <w:szCs w:val="32"/>
          <w:lang w:val="en-US" w:eastAsia="zh-CN" w:bidi="ar"/>
        </w:rPr>
        <w:t>使用情况（单位：万元）</w:t>
      </w:r>
    </w:p>
    <w:tbl>
      <w:tblPr>
        <w:tblStyle w:val="4"/>
        <w:tblW w:w="8750" w:type="dxa"/>
        <w:tblInd w:w="0" w:type="dxa"/>
        <w:tblLayout w:type="fixed"/>
        <w:tblCellMar>
          <w:top w:w="0" w:type="dxa"/>
          <w:left w:w="108" w:type="dxa"/>
          <w:bottom w:w="0" w:type="dxa"/>
          <w:right w:w="108" w:type="dxa"/>
        </w:tblCellMar>
      </w:tblPr>
      <w:tblGrid>
        <w:gridCol w:w="2675"/>
        <w:gridCol w:w="1888"/>
        <w:gridCol w:w="1975"/>
        <w:gridCol w:w="2212"/>
      </w:tblGrid>
      <w:tr>
        <w:tblPrEx>
          <w:tblCellMar>
            <w:top w:w="0" w:type="dxa"/>
            <w:left w:w="108" w:type="dxa"/>
            <w:bottom w:w="0" w:type="dxa"/>
            <w:right w:w="108" w:type="dxa"/>
          </w:tblCellMar>
        </w:tblPrEx>
        <w:trPr>
          <w:trHeight w:val="1276" w:hRule="atLeast"/>
        </w:trPr>
        <w:tc>
          <w:tcPr>
            <w:tcW w:w="2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费用项目</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p>
        </w:tc>
        <w:tc>
          <w:tcPr>
            <w:tcW w:w="18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lang w:eastAsia="zh-CN"/>
              </w:rPr>
            </w:pPr>
            <w:r>
              <w:rPr>
                <w:rFonts w:hint="eastAsia" w:ascii="仿宋_GB2312" w:hAnsi="宋体" w:eastAsia="仿宋_GB2312" w:cs="宋体"/>
                <w:b/>
                <w:bCs/>
                <w:color w:val="auto"/>
                <w:kern w:val="0"/>
                <w:sz w:val="28"/>
                <w:szCs w:val="28"/>
                <w:lang w:eastAsia="zh-CN"/>
              </w:rPr>
              <w:t>本年</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预算指标</w:t>
            </w:r>
          </w:p>
        </w:tc>
        <w:tc>
          <w:tcPr>
            <w:tcW w:w="1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lang w:eastAsia="zh-CN"/>
              </w:rPr>
            </w:pPr>
            <w:r>
              <w:rPr>
                <w:rFonts w:hint="eastAsia" w:ascii="仿宋_GB2312" w:hAnsi="宋体" w:eastAsia="仿宋_GB2312" w:cs="宋体"/>
                <w:b/>
                <w:bCs/>
                <w:color w:val="auto"/>
                <w:kern w:val="0"/>
                <w:sz w:val="28"/>
                <w:szCs w:val="28"/>
                <w:lang w:eastAsia="zh-CN"/>
              </w:rPr>
              <w:t>本年</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lang w:eastAsia="zh-CN"/>
              </w:rPr>
            </w:pPr>
            <w:r>
              <w:rPr>
                <w:rFonts w:hint="eastAsia" w:ascii="仿宋_GB2312" w:hAnsi="宋体" w:eastAsia="仿宋_GB2312" w:cs="宋体"/>
                <w:b/>
                <w:bCs/>
                <w:color w:val="auto"/>
                <w:kern w:val="0"/>
                <w:sz w:val="28"/>
                <w:szCs w:val="28"/>
                <w:lang w:eastAsia="zh-CN"/>
              </w:rPr>
              <w:t>决算金额</w:t>
            </w:r>
          </w:p>
        </w:tc>
        <w:tc>
          <w:tcPr>
            <w:tcW w:w="22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差额</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（实际-预算）</w:t>
            </w:r>
          </w:p>
        </w:tc>
      </w:tr>
      <w:tr>
        <w:tblPrEx>
          <w:tblCellMar>
            <w:top w:w="0" w:type="dxa"/>
            <w:left w:w="108" w:type="dxa"/>
            <w:bottom w:w="0" w:type="dxa"/>
            <w:right w:w="108" w:type="dxa"/>
          </w:tblCellMar>
        </w:tblPrEx>
        <w:trPr>
          <w:trHeight w:val="757"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工资福利支出</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1080.09</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1617.87</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537.78</w:t>
            </w:r>
          </w:p>
        </w:tc>
      </w:tr>
      <w:tr>
        <w:tblPrEx>
          <w:tblCellMar>
            <w:top w:w="0" w:type="dxa"/>
            <w:left w:w="108" w:type="dxa"/>
            <w:bottom w:w="0" w:type="dxa"/>
            <w:right w:w="108" w:type="dxa"/>
          </w:tblCellMar>
        </w:tblPrEx>
        <w:trPr>
          <w:trHeight w:val="447"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商品和服务支出</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192.61</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336.59</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143.98</w:t>
            </w:r>
          </w:p>
        </w:tc>
      </w:tr>
      <w:tr>
        <w:tblPrEx>
          <w:tblCellMar>
            <w:top w:w="0" w:type="dxa"/>
            <w:left w:w="108" w:type="dxa"/>
            <w:bottom w:w="0" w:type="dxa"/>
            <w:right w:w="108" w:type="dxa"/>
          </w:tblCellMar>
        </w:tblPrEx>
        <w:trPr>
          <w:trHeight w:val="832"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对个人和家庭补助</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26.8</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915.23</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888.43</w:t>
            </w:r>
          </w:p>
        </w:tc>
      </w:tr>
      <w:tr>
        <w:tblPrEx>
          <w:tblCellMar>
            <w:top w:w="0" w:type="dxa"/>
            <w:left w:w="108" w:type="dxa"/>
            <w:bottom w:w="0" w:type="dxa"/>
            <w:right w:w="108" w:type="dxa"/>
          </w:tblCellMar>
        </w:tblPrEx>
        <w:trPr>
          <w:trHeight w:val="632"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color w:val="auto"/>
                <w:kern w:val="0"/>
                <w:sz w:val="28"/>
                <w:szCs w:val="28"/>
              </w:rPr>
              <w:t>资本性支出</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0</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90.62</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90.62</w:t>
            </w:r>
          </w:p>
        </w:tc>
      </w:tr>
      <w:tr>
        <w:tblPrEx>
          <w:tblCellMar>
            <w:top w:w="0" w:type="dxa"/>
            <w:left w:w="108" w:type="dxa"/>
            <w:bottom w:w="0" w:type="dxa"/>
            <w:right w:w="108" w:type="dxa"/>
          </w:tblCellMar>
        </w:tblPrEx>
        <w:trPr>
          <w:trHeight w:val="912" w:hRule="atLeast"/>
        </w:trPr>
        <w:tc>
          <w:tcPr>
            <w:tcW w:w="26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合计</w:t>
            </w:r>
          </w:p>
        </w:tc>
        <w:tc>
          <w:tcPr>
            <w:tcW w:w="18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cs="宋体"/>
                <w:color w:val="auto"/>
                <w:kern w:val="0"/>
                <w:sz w:val="28"/>
                <w:szCs w:val="28"/>
                <w:lang w:val="en-US" w:eastAsia="zh-CN"/>
              </w:rPr>
            </w:pPr>
            <w:r>
              <w:rPr>
                <w:rFonts w:hint="eastAsia" w:ascii="仿宋_GB2312" w:hAnsi="宋体" w:cs="宋体"/>
                <w:color w:val="auto"/>
                <w:kern w:val="0"/>
                <w:sz w:val="28"/>
                <w:szCs w:val="28"/>
                <w:lang w:val="en-US" w:eastAsia="zh-CN"/>
              </w:rPr>
              <w:t>1299.5</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2960.31</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1660.81</w:t>
            </w:r>
          </w:p>
        </w:tc>
      </w:tr>
    </w:tbl>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sz w:val="32"/>
          <w:szCs w:val="32"/>
          <w:lang w:eastAsia="zh-CN"/>
        </w:rPr>
        <w:t xml:space="preserve"> </w:t>
      </w:r>
      <w:r>
        <w:rPr>
          <w:rFonts w:hint="eastAsia" w:ascii="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333333"/>
          <w:kern w:val="0"/>
          <w:sz w:val="32"/>
          <w:szCs w:val="32"/>
          <w:lang w:val="en-US" w:eastAsia="zh-CN" w:bidi="ar"/>
        </w:rPr>
      </w:pPr>
      <w:r>
        <w:rPr>
          <w:rFonts w:hint="eastAsia" w:ascii="仿宋_GB2312" w:hAnsi="微软雅黑" w:eastAsia="仿宋_GB2312" w:cs="微软雅黑"/>
          <w:color w:val="333333"/>
          <w:kern w:val="0"/>
          <w:sz w:val="32"/>
          <w:szCs w:val="32"/>
          <w:lang w:val="en-US" w:eastAsia="zh-CN" w:bidi="ar"/>
        </w:rPr>
        <w:t>2、三公经费使用情况（单位：万元）</w:t>
      </w:r>
    </w:p>
    <w:tbl>
      <w:tblPr>
        <w:tblStyle w:val="4"/>
        <w:tblW w:w="8749" w:type="dxa"/>
        <w:tblInd w:w="0" w:type="dxa"/>
        <w:tblLayout w:type="fixed"/>
        <w:tblCellMar>
          <w:top w:w="0" w:type="dxa"/>
          <w:left w:w="108" w:type="dxa"/>
          <w:bottom w:w="0" w:type="dxa"/>
          <w:right w:w="108" w:type="dxa"/>
        </w:tblCellMar>
      </w:tblPr>
      <w:tblGrid>
        <w:gridCol w:w="2116"/>
        <w:gridCol w:w="1425"/>
        <w:gridCol w:w="1395"/>
        <w:gridCol w:w="1170"/>
        <w:gridCol w:w="1206"/>
        <w:gridCol w:w="1437"/>
      </w:tblGrid>
      <w:tr>
        <w:tblPrEx>
          <w:tblCellMar>
            <w:top w:w="0" w:type="dxa"/>
            <w:left w:w="108" w:type="dxa"/>
            <w:bottom w:w="0" w:type="dxa"/>
            <w:right w:w="108" w:type="dxa"/>
          </w:tblCellMar>
        </w:tblPrEx>
        <w:trPr>
          <w:trHeight w:val="1672" w:hRule="atLeast"/>
        </w:trPr>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费用项目</w:t>
            </w:r>
          </w:p>
        </w:tc>
        <w:tc>
          <w:tcPr>
            <w:tcW w:w="1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cs="宋体"/>
                <w:b/>
                <w:bCs/>
                <w:kern w:val="0"/>
                <w:sz w:val="28"/>
                <w:szCs w:val="28"/>
                <w:lang w:eastAsia="zh-CN"/>
              </w:rPr>
              <w:t>20</w:t>
            </w:r>
            <w:r>
              <w:rPr>
                <w:rFonts w:hint="eastAsia" w:ascii="仿宋_GB2312" w:hAnsi="宋体" w:cs="宋体"/>
                <w:b/>
                <w:bCs/>
                <w:kern w:val="0"/>
                <w:sz w:val="28"/>
                <w:szCs w:val="28"/>
                <w:lang w:val="en-US" w:eastAsia="zh-CN"/>
              </w:rPr>
              <w:t>21</w:t>
            </w:r>
            <w:r>
              <w:rPr>
                <w:rFonts w:hint="eastAsia" w:ascii="仿宋_GB2312" w:hAnsi="宋体" w:eastAsia="仿宋_GB2312" w:cs="宋体"/>
                <w:b/>
                <w:bCs/>
                <w:kern w:val="0"/>
                <w:sz w:val="28"/>
                <w:szCs w:val="28"/>
              </w:rPr>
              <w:t>年度</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预算金额</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ind w:firstLine="138" w:firstLineChars="49"/>
              <w:textAlignment w:val="auto"/>
              <w:rPr>
                <w:rFonts w:hint="eastAsia" w:ascii="仿宋_GB2312" w:hAnsi="宋体" w:eastAsia="仿宋_GB2312" w:cs="宋体"/>
                <w:b/>
                <w:bCs/>
                <w:kern w:val="0"/>
                <w:sz w:val="28"/>
                <w:szCs w:val="28"/>
                <w:lang w:eastAsia="zh-CN"/>
              </w:rPr>
            </w:pPr>
            <w:r>
              <w:rPr>
                <w:rFonts w:hint="eastAsia" w:ascii="仿宋_GB2312" w:hAnsi="宋体" w:cs="宋体"/>
                <w:b/>
                <w:bCs/>
                <w:kern w:val="0"/>
                <w:sz w:val="28"/>
                <w:szCs w:val="28"/>
                <w:lang w:val="en-US" w:eastAsia="zh-CN"/>
              </w:rPr>
              <w:t>2021</w:t>
            </w:r>
            <w:r>
              <w:rPr>
                <w:rFonts w:hint="eastAsia" w:ascii="仿宋_GB2312" w:hAnsi="宋体" w:eastAsia="仿宋_GB2312" w:cs="宋体"/>
                <w:b/>
                <w:bCs/>
                <w:kern w:val="0"/>
                <w:sz w:val="28"/>
                <w:szCs w:val="28"/>
              </w:rPr>
              <w:t>年度实际支出</w:t>
            </w:r>
          </w:p>
        </w:tc>
        <w:tc>
          <w:tcPr>
            <w:tcW w:w="11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cs="宋体"/>
                <w:b/>
                <w:bCs/>
                <w:kern w:val="0"/>
                <w:sz w:val="28"/>
                <w:szCs w:val="28"/>
                <w:lang w:eastAsia="zh-CN"/>
              </w:rPr>
              <w:t>20</w:t>
            </w:r>
            <w:r>
              <w:rPr>
                <w:rFonts w:hint="eastAsia" w:ascii="仿宋_GB2312" w:hAnsi="宋体" w:cs="宋体"/>
                <w:b/>
                <w:bCs/>
                <w:kern w:val="0"/>
                <w:sz w:val="28"/>
                <w:szCs w:val="28"/>
                <w:lang w:val="en-US" w:eastAsia="zh-CN"/>
              </w:rPr>
              <w:t>21</w:t>
            </w:r>
            <w:r>
              <w:rPr>
                <w:rFonts w:hint="eastAsia" w:ascii="仿宋_GB2312" w:hAnsi="宋体" w:eastAsia="仿宋_GB2312" w:cs="宋体"/>
                <w:b/>
                <w:bCs/>
                <w:kern w:val="0"/>
                <w:sz w:val="28"/>
                <w:szCs w:val="28"/>
              </w:rPr>
              <w:t>年度结余金额</w:t>
            </w:r>
          </w:p>
        </w:tc>
        <w:tc>
          <w:tcPr>
            <w:tcW w:w="12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rPr>
              <w:t>20</w:t>
            </w:r>
            <w:r>
              <w:rPr>
                <w:rFonts w:hint="eastAsia" w:ascii="仿宋_GB2312" w:hAnsi="宋体" w:cs="宋体"/>
                <w:b/>
                <w:bCs/>
                <w:kern w:val="0"/>
                <w:sz w:val="28"/>
                <w:szCs w:val="28"/>
                <w:lang w:val="en-US" w:eastAsia="zh-CN"/>
              </w:rPr>
              <w:t>20</w:t>
            </w:r>
            <w:r>
              <w:rPr>
                <w:rFonts w:hint="eastAsia" w:ascii="仿宋_GB2312" w:hAnsi="宋体" w:eastAsia="仿宋_GB2312" w:cs="宋体"/>
                <w:b/>
                <w:bCs/>
                <w:kern w:val="0"/>
                <w:sz w:val="28"/>
                <w:szCs w:val="28"/>
              </w:rPr>
              <w:t>年度实际支出</w:t>
            </w:r>
          </w:p>
        </w:tc>
        <w:tc>
          <w:tcPr>
            <w:tcW w:w="14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cs="宋体"/>
                <w:b/>
                <w:bCs/>
                <w:kern w:val="0"/>
                <w:sz w:val="28"/>
                <w:szCs w:val="28"/>
                <w:lang w:eastAsia="zh-CN"/>
              </w:rPr>
              <w:t>20</w:t>
            </w:r>
            <w:r>
              <w:rPr>
                <w:rFonts w:hint="eastAsia" w:ascii="仿宋_GB2312" w:hAnsi="宋体" w:cs="宋体"/>
                <w:b/>
                <w:bCs/>
                <w:kern w:val="0"/>
                <w:sz w:val="28"/>
                <w:szCs w:val="28"/>
                <w:lang w:val="en-US" w:eastAsia="zh-CN"/>
              </w:rPr>
              <w:t>21</w:t>
            </w:r>
            <w:r>
              <w:rPr>
                <w:rFonts w:hint="eastAsia" w:ascii="仿宋_GB2312" w:hAnsi="宋体" w:eastAsia="仿宋_GB2312" w:cs="宋体"/>
                <w:b/>
                <w:bCs/>
                <w:kern w:val="0"/>
                <w:sz w:val="28"/>
                <w:szCs w:val="28"/>
              </w:rPr>
              <w:t>年度相比上年</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增加额</w:t>
            </w:r>
          </w:p>
        </w:tc>
      </w:tr>
      <w:tr>
        <w:tblPrEx>
          <w:tblCellMar>
            <w:top w:w="0" w:type="dxa"/>
            <w:left w:w="108" w:type="dxa"/>
            <w:bottom w:w="0" w:type="dxa"/>
            <w:right w:w="108" w:type="dxa"/>
          </w:tblCellMar>
        </w:tblPrEx>
        <w:trPr>
          <w:trHeight w:val="853" w:hRule="atLeast"/>
        </w:trPr>
        <w:tc>
          <w:tcPr>
            <w:tcW w:w="21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公务</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接待费</w:t>
            </w:r>
          </w:p>
        </w:tc>
        <w:tc>
          <w:tcPr>
            <w:tcW w:w="14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lang w:val="en-US" w:eastAsia="zh-CN"/>
              </w:rPr>
            </w:pPr>
            <w:r>
              <w:rPr>
                <w:rFonts w:hint="eastAsia"/>
                <w:sz w:val="24"/>
                <w:szCs w:val="24"/>
                <w:shd w:val="clear" w:fill="FFFFFF"/>
              </w:rPr>
              <w:t>4</w:t>
            </w:r>
            <w:r>
              <w:rPr>
                <w:rFonts w:hint="eastAsia"/>
                <w:sz w:val="24"/>
                <w:szCs w:val="24"/>
                <w:shd w:val="clear" w:fill="FFFFFF"/>
                <w:lang w:val="en-US" w:eastAsia="zh-CN"/>
              </w:rPr>
              <w:t>0</w:t>
            </w:r>
            <w:r>
              <w:rPr>
                <w:rFonts w:hint="eastAsia"/>
                <w:sz w:val="24"/>
                <w:szCs w:val="24"/>
                <w:shd w:val="clear" w:fill="FFFFFF"/>
              </w:rPr>
              <w:t>.</w:t>
            </w:r>
            <w:r>
              <w:rPr>
                <w:rFonts w:hint="eastAsia"/>
                <w:sz w:val="24"/>
                <w:szCs w:val="24"/>
                <w:shd w:val="clear" w:fill="FFFFFF"/>
                <w:lang w:val="en-US" w:eastAsia="zh-CN"/>
              </w:rPr>
              <w:t>3</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20.01</w:t>
            </w:r>
          </w:p>
        </w:tc>
        <w:tc>
          <w:tcPr>
            <w:tcW w:w="11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20.29</w:t>
            </w:r>
          </w:p>
        </w:tc>
        <w:tc>
          <w:tcPr>
            <w:tcW w:w="12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19.51</w:t>
            </w:r>
          </w:p>
        </w:tc>
        <w:tc>
          <w:tcPr>
            <w:tcW w:w="14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0.5</w:t>
            </w:r>
          </w:p>
        </w:tc>
      </w:tr>
      <w:tr>
        <w:tblPrEx>
          <w:tblCellMar>
            <w:top w:w="0" w:type="dxa"/>
            <w:left w:w="108" w:type="dxa"/>
            <w:bottom w:w="0" w:type="dxa"/>
            <w:right w:w="108" w:type="dxa"/>
          </w:tblCellMar>
        </w:tblPrEx>
        <w:trPr>
          <w:trHeight w:val="90" w:hRule="atLeast"/>
        </w:trPr>
        <w:tc>
          <w:tcPr>
            <w:tcW w:w="21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公务用车运行</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维护费</w:t>
            </w:r>
          </w:p>
        </w:tc>
        <w:tc>
          <w:tcPr>
            <w:tcW w:w="14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4</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2.</w:t>
            </w:r>
            <w:r>
              <w:rPr>
                <w:rFonts w:hint="eastAsia" w:ascii="仿宋_GB2312" w:hAnsi="宋体" w:cs="宋体"/>
                <w:color w:val="auto"/>
                <w:kern w:val="0"/>
                <w:sz w:val="28"/>
                <w:szCs w:val="28"/>
                <w:lang w:val="en-US" w:eastAsia="zh-CN"/>
              </w:rPr>
              <w:t>50</w:t>
            </w:r>
          </w:p>
        </w:tc>
        <w:tc>
          <w:tcPr>
            <w:tcW w:w="11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1.5</w:t>
            </w:r>
          </w:p>
        </w:tc>
        <w:tc>
          <w:tcPr>
            <w:tcW w:w="12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2.</w:t>
            </w:r>
            <w:r>
              <w:rPr>
                <w:rFonts w:hint="eastAsia" w:ascii="仿宋_GB2312" w:hAnsi="宋体" w:cs="宋体"/>
                <w:color w:val="auto"/>
                <w:kern w:val="0"/>
                <w:sz w:val="28"/>
                <w:szCs w:val="28"/>
                <w:lang w:val="en-US" w:eastAsia="zh-CN"/>
              </w:rPr>
              <w:t>5</w:t>
            </w:r>
          </w:p>
        </w:tc>
        <w:tc>
          <w:tcPr>
            <w:tcW w:w="14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color w:val="auto"/>
                <w:kern w:val="0"/>
                <w:sz w:val="28"/>
                <w:szCs w:val="28"/>
                <w:lang w:val="en-US" w:eastAsia="zh-CN"/>
              </w:rPr>
            </w:pPr>
            <w:r>
              <w:rPr>
                <w:rFonts w:hint="eastAsia" w:ascii="仿宋_GB2312" w:hAnsi="宋体" w:cs="宋体"/>
                <w:color w:val="auto"/>
                <w:kern w:val="0"/>
                <w:sz w:val="28"/>
                <w:szCs w:val="28"/>
                <w:lang w:val="en-US" w:eastAsia="zh-CN"/>
              </w:rPr>
              <w:t>0</w:t>
            </w:r>
          </w:p>
        </w:tc>
      </w:tr>
      <w:tr>
        <w:tblPrEx>
          <w:tblCellMar>
            <w:top w:w="0" w:type="dxa"/>
            <w:left w:w="108" w:type="dxa"/>
            <w:bottom w:w="0" w:type="dxa"/>
            <w:right w:w="108" w:type="dxa"/>
          </w:tblCellMar>
        </w:tblPrEx>
        <w:trPr>
          <w:trHeight w:val="577" w:hRule="atLeast"/>
        </w:trPr>
        <w:tc>
          <w:tcPr>
            <w:tcW w:w="21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合计</w:t>
            </w:r>
          </w:p>
        </w:tc>
        <w:tc>
          <w:tcPr>
            <w:tcW w:w="14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cs="宋体"/>
                <w:b/>
                <w:bCs/>
                <w:color w:val="auto"/>
                <w:kern w:val="0"/>
                <w:sz w:val="28"/>
                <w:szCs w:val="28"/>
                <w:lang w:val="en-US" w:eastAsia="zh-CN"/>
              </w:rPr>
              <w:t>44.3</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cs="宋体"/>
                <w:b/>
                <w:bCs/>
                <w:color w:val="auto"/>
                <w:kern w:val="0"/>
                <w:sz w:val="28"/>
                <w:szCs w:val="28"/>
                <w:lang w:val="en-US" w:eastAsia="zh-CN"/>
              </w:rPr>
              <w:t>22.51</w:t>
            </w:r>
          </w:p>
        </w:tc>
        <w:tc>
          <w:tcPr>
            <w:tcW w:w="11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cs="宋体"/>
                <w:b/>
                <w:bCs/>
                <w:color w:val="auto"/>
                <w:kern w:val="0"/>
                <w:sz w:val="28"/>
                <w:szCs w:val="28"/>
                <w:lang w:val="en-US" w:eastAsia="zh-CN"/>
              </w:rPr>
              <w:t>21.79</w:t>
            </w:r>
          </w:p>
        </w:tc>
        <w:tc>
          <w:tcPr>
            <w:tcW w:w="120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eastAsia="仿宋_GB2312" w:cs="宋体"/>
                <w:b/>
                <w:bCs/>
                <w:color w:val="auto"/>
                <w:kern w:val="0"/>
                <w:sz w:val="28"/>
                <w:szCs w:val="28"/>
                <w:lang w:val="en-US" w:eastAsia="zh-CN"/>
              </w:rPr>
              <w:t>2</w:t>
            </w:r>
            <w:r>
              <w:rPr>
                <w:rFonts w:hint="eastAsia" w:ascii="仿宋_GB2312" w:hAnsi="宋体" w:cs="宋体"/>
                <w:b/>
                <w:bCs/>
                <w:color w:val="auto"/>
                <w:kern w:val="0"/>
                <w:sz w:val="28"/>
                <w:szCs w:val="28"/>
                <w:lang w:val="en-US" w:eastAsia="zh-CN"/>
              </w:rPr>
              <w:t>2.01</w:t>
            </w:r>
          </w:p>
        </w:tc>
        <w:tc>
          <w:tcPr>
            <w:tcW w:w="14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宋体" w:eastAsia="仿宋_GB2312" w:cs="宋体"/>
                <w:b/>
                <w:bCs/>
                <w:color w:val="auto"/>
                <w:kern w:val="0"/>
                <w:sz w:val="28"/>
                <w:szCs w:val="28"/>
                <w:lang w:val="en-US" w:eastAsia="zh-CN"/>
              </w:rPr>
            </w:pPr>
            <w:r>
              <w:rPr>
                <w:rFonts w:hint="eastAsia" w:ascii="仿宋_GB2312" w:hAnsi="宋体" w:cs="宋体"/>
                <w:b/>
                <w:bCs/>
                <w:color w:val="auto"/>
                <w:kern w:val="0"/>
                <w:sz w:val="28"/>
                <w:szCs w:val="28"/>
                <w:lang w:val="en-US" w:eastAsia="zh-CN"/>
              </w:rPr>
              <w:t>0.5</w:t>
            </w:r>
          </w:p>
        </w:tc>
      </w:tr>
    </w:tbl>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微软雅黑" w:eastAsia="仿宋_GB2312" w:cs="微软雅黑"/>
          <w:color w:val="333333"/>
          <w:kern w:val="0"/>
          <w:sz w:val="32"/>
          <w:szCs w:val="32"/>
          <w:lang w:val="en-US" w:eastAsia="zh-CN" w:bidi="ar"/>
        </w:rPr>
      </w:pPr>
      <w:r>
        <w:rPr>
          <w:rFonts w:hint="eastAsia" w:ascii="仿宋_GB2312" w:hAnsi="微软雅黑" w:cs="微软雅黑"/>
          <w:color w:val="333333"/>
          <w:kern w:val="0"/>
          <w:sz w:val="32"/>
          <w:szCs w:val="32"/>
          <w:lang w:val="en-US" w:eastAsia="zh-CN" w:bidi="ar"/>
        </w:rPr>
        <w:t>2021</w:t>
      </w:r>
      <w:r>
        <w:rPr>
          <w:rFonts w:hint="eastAsia" w:ascii="仿宋_GB2312" w:hAnsi="微软雅黑" w:eastAsia="仿宋_GB2312" w:cs="微软雅黑"/>
          <w:color w:val="333333"/>
          <w:kern w:val="0"/>
          <w:sz w:val="32"/>
          <w:szCs w:val="32"/>
          <w:lang w:val="en-US" w:eastAsia="zh-CN" w:bidi="ar"/>
        </w:rPr>
        <w:t>我镇“三公”经费中公务接待费与预算金额相差</w:t>
      </w:r>
      <w:r>
        <w:rPr>
          <w:rFonts w:hint="eastAsia" w:ascii="仿宋_GB2312" w:hAnsi="微软雅黑" w:cs="微软雅黑"/>
          <w:color w:val="333333"/>
          <w:kern w:val="0"/>
          <w:sz w:val="32"/>
          <w:szCs w:val="32"/>
          <w:lang w:val="en-US" w:eastAsia="zh-CN" w:bidi="ar"/>
        </w:rPr>
        <w:t>20.29</w:t>
      </w:r>
      <w:r>
        <w:rPr>
          <w:rFonts w:hint="eastAsia" w:ascii="仿宋_GB2312" w:hAnsi="微软雅黑" w:eastAsia="仿宋_GB2312" w:cs="微软雅黑"/>
          <w:color w:val="333333"/>
          <w:kern w:val="0"/>
          <w:sz w:val="32"/>
          <w:szCs w:val="32"/>
          <w:lang w:val="en-US" w:eastAsia="zh-CN" w:bidi="ar"/>
        </w:rPr>
        <w:t>万元，相比20</w:t>
      </w:r>
      <w:r>
        <w:rPr>
          <w:rFonts w:hint="eastAsia" w:ascii="仿宋_GB2312" w:hAnsi="微软雅黑" w:cs="微软雅黑"/>
          <w:color w:val="333333"/>
          <w:kern w:val="0"/>
          <w:sz w:val="32"/>
          <w:szCs w:val="32"/>
          <w:lang w:val="en-US" w:eastAsia="zh-CN" w:bidi="ar"/>
        </w:rPr>
        <w:t>20</w:t>
      </w:r>
      <w:r>
        <w:rPr>
          <w:rFonts w:hint="eastAsia" w:ascii="仿宋_GB2312" w:hAnsi="微软雅黑" w:eastAsia="仿宋_GB2312" w:cs="微软雅黑"/>
          <w:color w:val="333333"/>
          <w:kern w:val="0"/>
          <w:sz w:val="32"/>
          <w:szCs w:val="32"/>
          <w:lang w:val="en-US" w:eastAsia="zh-CN" w:bidi="ar"/>
        </w:rPr>
        <w:t>年度实际支出</w:t>
      </w:r>
      <w:r>
        <w:rPr>
          <w:rFonts w:hint="eastAsia" w:ascii="仿宋_GB2312" w:hAnsi="微软雅黑" w:cs="微软雅黑"/>
          <w:color w:val="333333"/>
          <w:kern w:val="0"/>
          <w:sz w:val="32"/>
          <w:szCs w:val="32"/>
          <w:lang w:val="en-US" w:eastAsia="zh-CN" w:bidi="ar"/>
        </w:rPr>
        <w:t>增加0.5</w:t>
      </w:r>
      <w:r>
        <w:rPr>
          <w:rFonts w:hint="eastAsia" w:ascii="仿宋_GB2312" w:hAnsi="微软雅黑" w:eastAsia="仿宋_GB2312" w:cs="微软雅黑"/>
          <w:color w:val="333333"/>
          <w:kern w:val="0"/>
          <w:sz w:val="32"/>
          <w:szCs w:val="32"/>
          <w:lang w:val="en-US" w:eastAsia="zh-CN" w:bidi="ar"/>
        </w:rPr>
        <w:t>万元，</w:t>
      </w:r>
      <w:r>
        <w:rPr>
          <w:rFonts w:hint="eastAsia" w:ascii="仿宋_GB2312" w:hAnsi="微软雅黑" w:cs="微软雅黑"/>
          <w:color w:val="333333"/>
          <w:kern w:val="0"/>
          <w:sz w:val="32"/>
          <w:szCs w:val="32"/>
          <w:lang w:val="en-US" w:eastAsia="zh-CN" w:bidi="ar"/>
        </w:rPr>
        <w:t>增长变动范围未超出规定百分比；</w:t>
      </w:r>
      <w:r>
        <w:rPr>
          <w:rFonts w:hint="eastAsia" w:ascii="仿宋_GB2312" w:hAnsi="微软雅黑" w:eastAsia="仿宋_GB2312" w:cs="微软雅黑"/>
          <w:color w:val="333333"/>
          <w:kern w:val="0"/>
          <w:sz w:val="32"/>
          <w:szCs w:val="32"/>
          <w:lang w:val="en-US" w:eastAsia="zh-CN" w:bidi="ar"/>
        </w:rPr>
        <w:t>公务用车运行维护费与预算金额相差1.</w:t>
      </w:r>
      <w:r>
        <w:rPr>
          <w:rFonts w:hint="eastAsia" w:ascii="仿宋_GB2312" w:hAnsi="微软雅黑" w:cs="微软雅黑"/>
          <w:color w:val="333333"/>
          <w:kern w:val="0"/>
          <w:sz w:val="32"/>
          <w:szCs w:val="32"/>
          <w:lang w:val="en-US" w:eastAsia="zh-CN" w:bidi="ar"/>
        </w:rPr>
        <w:t>5</w:t>
      </w:r>
      <w:r>
        <w:rPr>
          <w:rFonts w:hint="eastAsia" w:ascii="仿宋_GB2312" w:hAnsi="微软雅黑" w:eastAsia="仿宋_GB2312" w:cs="微软雅黑"/>
          <w:color w:val="333333"/>
          <w:kern w:val="0"/>
          <w:sz w:val="32"/>
          <w:szCs w:val="32"/>
          <w:lang w:val="en-US" w:eastAsia="zh-CN" w:bidi="ar"/>
        </w:rPr>
        <w:t>万元，</w:t>
      </w:r>
      <w:bookmarkStart w:id="0" w:name="_GoBack"/>
      <w:bookmarkEnd w:id="0"/>
      <w:r>
        <w:rPr>
          <w:rFonts w:hint="eastAsia" w:ascii="仿宋_GB2312" w:hAnsi="微软雅黑" w:cs="微软雅黑"/>
          <w:color w:val="333333"/>
          <w:kern w:val="0"/>
          <w:sz w:val="32"/>
          <w:szCs w:val="32"/>
          <w:lang w:val="en-US" w:eastAsia="zh-CN" w:bidi="ar"/>
        </w:rPr>
        <w:t>变动范围未超出规定百分比</w:t>
      </w:r>
      <w:r>
        <w:rPr>
          <w:rFonts w:hint="eastAsia" w:ascii="仿宋_GB2312" w:hAnsi="微软雅黑" w:eastAsia="仿宋_GB2312" w:cs="微软雅黑"/>
          <w:color w:val="333333"/>
          <w:kern w:val="0"/>
          <w:sz w:val="32"/>
          <w:szCs w:val="32"/>
          <w:lang w:val="en-US" w:eastAsia="zh-CN" w:bidi="ar"/>
        </w:rPr>
        <w:t>，实现了对三公经费的严格把控与费用节约。其中工资福利支出大于预算指标的原因在于事业行政单位人员津补贴与绩效工资全面进行了提标。</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 xml:space="preserve"> （二）项目支出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hAnsi="微软雅黑" w:eastAsia="仿宋_GB2312" w:cs="微软雅黑"/>
          <w:color w:val="333333"/>
          <w:kern w:val="0"/>
          <w:sz w:val="32"/>
          <w:szCs w:val="32"/>
          <w:lang w:val="en-US" w:eastAsia="zh-CN" w:bidi="ar"/>
        </w:rPr>
        <w:t>0</w:t>
      </w:r>
      <w:r>
        <w:rPr>
          <w:rFonts w:hint="eastAsia" w:ascii="仿宋_GB2312" w:hAnsi="微软雅黑" w:cs="微软雅黑"/>
          <w:color w:val="333333"/>
          <w:kern w:val="0"/>
          <w:sz w:val="32"/>
          <w:szCs w:val="32"/>
          <w:lang w:val="en-US" w:eastAsia="zh-CN" w:bidi="ar"/>
        </w:rPr>
        <w:t>21</w:t>
      </w:r>
      <w:r>
        <w:rPr>
          <w:rFonts w:hint="eastAsia" w:ascii="仿宋_GB2312" w:hAnsi="微软雅黑" w:eastAsia="仿宋_GB2312" w:cs="微软雅黑"/>
          <w:color w:val="333333"/>
          <w:kern w:val="0"/>
          <w:sz w:val="32"/>
          <w:szCs w:val="32"/>
          <w:lang w:val="en-US" w:eastAsia="zh-CN" w:bidi="ar"/>
        </w:rPr>
        <w:t>年我镇项目预算总支出</w:t>
      </w:r>
      <w:r>
        <w:rPr>
          <w:rFonts w:hint="eastAsia" w:ascii="仿宋_GB2312" w:hAnsi="微软雅黑" w:cs="微软雅黑"/>
          <w:color w:val="auto"/>
          <w:kern w:val="0"/>
          <w:sz w:val="32"/>
          <w:szCs w:val="32"/>
          <w:lang w:val="en-US" w:eastAsia="zh-CN" w:bidi="ar"/>
        </w:rPr>
        <w:t>694.5</w:t>
      </w:r>
      <w:r>
        <w:rPr>
          <w:rFonts w:hint="eastAsia" w:ascii="仿宋_GB2312" w:hAnsi="微软雅黑" w:eastAsia="仿宋_GB2312" w:cs="微软雅黑"/>
          <w:color w:val="333333"/>
          <w:kern w:val="0"/>
          <w:sz w:val="32"/>
          <w:szCs w:val="32"/>
          <w:lang w:val="en-US" w:eastAsia="zh-CN" w:bidi="ar"/>
        </w:rPr>
        <w:t>万元，项目实际支出</w:t>
      </w:r>
      <w:r>
        <w:rPr>
          <w:rFonts w:hint="eastAsia" w:ascii="仿宋_GB2312" w:hAnsi="微软雅黑" w:eastAsia="仿宋_GB2312" w:cs="微软雅黑"/>
          <w:color w:val="000000" w:themeColor="text1"/>
          <w:kern w:val="0"/>
          <w:sz w:val="32"/>
          <w:szCs w:val="32"/>
          <w:lang w:val="en-US" w:eastAsia="zh-CN" w:bidi="ar"/>
          <w14:textFill>
            <w14:solidFill>
              <w14:schemeClr w14:val="tx1"/>
            </w14:solidFill>
          </w14:textFill>
        </w:rPr>
        <w:t>为</w:t>
      </w:r>
      <w:r>
        <w:rPr>
          <w:rFonts w:hint="eastAsia" w:ascii="仿宋_GB2312" w:hAnsi="微软雅黑" w:cs="微软雅黑"/>
          <w:color w:val="000000" w:themeColor="text1"/>
          <w:kern w:val="0"/>
          <w:sz w:val="32"/>
          <w:szCs w:val="32"/>
          <w:lang w:val="en-US" w:eastAsia="zh-CN" w:bidi="ar"/>
          <w14:textFill>
            <w14:solidFill>
              <w14:schemeClr w14:val="tx1"/>
            </w14:solidFill>
          </w14:textFill>
        </w:rPr>
        <w:t>1460.47</w:t>
      </w:r>
      <w:r>
        <w:rPr>
          <w:rFonts w:hint="eastAsia" w:ascii="仿宋_GB2312" w:hAnsi="微软雅黑" w:eastAsia="仿宋_GB2312" w:cs="微软雅黑"/>
          <w:color w:val="000000" w:themeColor="text1"/>
          <w:kern w:val="0"/>
          <w:sz w:val="32"/>
          <w:szCs w:val="32"/>
          <w:lang w:val="en-US" w:eastAsia="zh-CN" w:bidi="ar"/>
          <w14:textFill>
            <w14:solidFill>
              <w14:schemeClr w14:val="tx1"/>
            </w14:solidFill>
          </w14:textFill>
        </w:rPr>
        <w:t>万元，</w:t>
      </w:r>
      <w:r>
        <w:rPr>
          <w:rFonts w:hint="eastAsia" w:ascii="仿宋_GB2312" w:hAnsi="微软雅黑" w:eastAsia="仿宋_GB2312" w:cs="微软雅黑"/>
          <w:color w:val="333333"/>
          <w:kern w:val="0"/>
          <w:sz w:val="32"/>
          <w:szCs w:val="32"/>
          <w:lang w:val="en-US" w:eastAsia="zh-CN" w:bidi="ar"/>
        </w:rPr>
        <w:t>主要用</w:t>
      </w:r>
      <w:r>
        <w:rPr>
          <w:rFonts w:hint="eastAsia" w:ascii="仿宋_GB2312" w:hAnsi="微软雅黑" w:eastAsia="仿宋_GB2312" w:cs="微软雅黑"/>
          <w:color w:val="auto"/>
          <w:kern w:val="0"/>
          <w:sz w:val="32"/>
          <w:szCs w:val="32"/>
          <w:lang w:val="en-US" w:eastAsia="zh-CN" w:bidi="ar"/>
        </w:rPr>
        <w:t>于一般公共服务支出</w:t>
      </w:r>
      <w:r>
        <w:rPr>
          <w:rFonts w:hint="eastAsia" w:ascii="仿宋_GB2312" w:hAnsi="微软雅黑" w:cs="微软雅黑"/>
          <w:color w:val="auto"/>
          <w:kern w:val="0"/>
          <w:sz w:val="32"/>
          <w:szCs w:val="32"/>
          <w:lang w:val="en-US" w:eastAsia="zh-CN" w:bidi="ar"/>
        </w:rPr>
        <w:t>119.6万元；社会保障和就业支出25</w:t>
      </w:r>
      <w:r>
        <w:rPr>
          <w:rFonts w:hint="eastAsia" w:ascii="仿宋_GB2312" w:hAnsi="微软雅黑" w:cs="微软雅黑"/>
          <w:color w:val="333333"/>
          <w:kern w:val="0"/>
          <w:sz w:val="32"/>
          <w:szCs w:val="32"/>
          <w:lang w:val="en-US" w:eastAsia="zh-CN" w:bidi="ar"/>
        </w:rPr>
        <w:t>万元；城乡社区支出634.53万元；农林水支出600.02万元；交通运输支出26.32万元；自然资源海洋气象等支出55万元。</w:t>
      </w:r>
    </w:p>
    <w:p>
      <w:pPr>
        <w:keepNext w:val="0"/>
        <w:keepLines w:val="0"/>
        <w:pageBreakBefore w:val="0"/>
        <w:numPr>
          <w:ilvl w:val="0"/>
          <w:numId w:val="2"/>
        </w:numPr>
        <w:kinsoku/>
        <w:wordWrap/>
        <w:overflowPunct/>
        <w:topLinePunct w:val="0"/>
        <w:autoSpaceDE/>
        <w:autoSpaceDN/>
        <w:bidi w:val="0"/>
        <w:adjustRightInd/>
        <w:snapToGrid/>
        <w:spacing w:line="540" w:lineRule="exact"/>
        <w:ind w:leftChars="0"/>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项目组织实施情况分析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乡建立了专项资金管理办法，严格遵循专款专用、独立核算的管理原则。专项资金的申报严格按照财政资金管理的要求进行，专项资金财政拨款到位后及时进行了项目开展和资金投入。建立专项资金台账，监督专项资金使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四、部门整体支出绩效情况分析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sz w:val="32"/>
          <w:szCs w:val="32"/>
          <w:lang w:val="en-US" w:eastAsia="zh-CN"/>
        </w:rPr>
        <w:t>2021</w:t>
      </w:r>
      <w:r>
        <w:rPr>
          <w:rFonts w:hint="eastAsia" w:ascii="仿宋_GB2312" w:eastAsia="仿宋_GB2312"/>
          <w:sz w:val="32"/>
          <w:szCs w:val="32"/>
          <w:lang w:val="en-US" w:eastAsia="zh-CN"/>
        </w:rPr>
        <w:t>年，我镇根据年初工作规划及财政预算计划，积极履职、强化管理，较好的完成了年度工作目标。通过加强预算收支管理、不断建立健全内部管理制度、梳理内部管理流程，部门整体支出管理情况得到提升。我镇</w:t>
      </w:r>
      <w:r>
        <w:rPr>
          <w:rFonts w:hint="eastAsia" w:ascii="仿宋_GB2312"/>
          <w:sz w:val="32"/>
          <w:szCs w:val="32"/>
          <w:lang w:val="en-US" w:eastAsia="zh-CN"/>
        </w:rPr>
        <w:t>2021</w:t>
      </w:r>
      <w:r>
        <w:rPr>
          <w:rFonts w:hint="eastAsia" w:ascii="仿宋_GB2312" w:eastAsia="仿宋_GB2312"/>
          <w:sz w:val="32"/>
          <w:szCs w:val="32"/>
          <w:lang w:val="en-US" w:eastAsia="zh-CN"/>
        </w:rPr>
        <w:t>年度部门整体支出绩效评价自评得分为9</w:t>
      </w:r>
      <w:r>
        <w:rPr>
          <w:rFonts w:hint="eastAsia" w:ascii="仿宋_GB2312"/>
          <w:sz w:val="32"/>
          <w:szCs w:val="32"/>
          <w:lang w:val="en-US" w:eastAsia="zh-CN"/>
        </w:rPr>
        <w:t>7</w:t>
      </w:r>
      <w:r>
        <w:rPr>
          <w:rFonts w:hint="eastAsia" w:ascii="仿宋_GB2312" w:eastAsia="仿宋_GB2312"/>
          <w:sz w:val="32"/>
          <w:szCs w:val="32"/>
          <w:lang w:val="en-US" w:eastAsia="zh-CN"/>
        </w:rPr>
        <w:t>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预算执行管理方面，编制内在职人员控制率小于100%，支出总额控制在预算总额以内，"三公"经费总体控制较好</w:t>
      </w:r>
      <w:r>
        <w:rPr>
          <w:rFonts w:hint="eastAsia" w:ascii="仿宋_GB2312"/>
          <w:sz w:val="32"/>
          <w:szCs w:val="32"/>
          <w:lang w:val="en-US" w:eastAsia="zh-CN"/>
        </w:rPr>
        <w:t>，</w:t>
      </w:r>
      <w:r>
        <w:rPr>
          <w:rFonts w:hint="eastAsia" w:ascii="仿宋_GB2312" w:eastAsia="仿宋_GB2312"/>
          <w:sz w:val="32"/>
          <w:szCs w:val="32"/>
          <w:lang w:val="en-US" w:eastAsia="zh-CN"/>
        </w:rPr>
        <w:t>制度执行总体较为有效，但仍需进一步强化，资金使用管理需进一步加强。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目标管理方面，内部财务管理制度健全，制定了工作目标与项目质量要求标准；专项资金专款专用，支出报销审批手续完备，资金拨付审批程序完整；全面完成了年初工作计划，重大事项或者项目的重大调整经过了集体研究，并经常开展财务检查和工作督查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资产管理方面，建立了资产管理制度，</w:t>
      </w:r>
      <w:r>
        <w:rPr>
          <w:rFonts w:hint="eastAsia" w:ascii="仿宋_GB2312"/>
          <w:sz w:val="32"/>
          <w:szCs w:val="32"/>
          <w:lang w:val="en-US" w:eastAsia="zh-CN"/>
        </w:rPr>
        <w:t>2021</w:t>
      </w:r>
      <w:r>
        <w:rPr>
          <w:rFonts w:hint="eastAsia" w:ascii="仿宋_GB2312" w:eastAsia="仿宋_GB2312"/>
          <w:sz w:val="32"/>
          <w:szCs w:val="32"/>
          <w:lang w:val="en-US" w:eastAsia="zh-CN"/>
        </w:rPr>
        <w:t>年对机关资产进行了一次全面盘点清查，制作固定资产卡片由保管人员签字，并拍照存档，装订成册，资产管理落实到位。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进一步优化支出结构，控制三公经费支出，压缩一般性支出，坚决抵制铺张浪费行为，降低政府运行成本，从财政自身做起，合理调度财政资金，保证政府机构正常的工作运转，实现财政资金利益最大化。</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、绩效评价工作情况</w:t>
      </w:r>
      <w:r>
        <w:rPr>
          <w:rFonts w:hint="eastAsia" w:ascii="仿宋_GB2312" w:eastAsia="仿宋_GB2312"/>
          <w:b/>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rPr>
        <w:t>1、评价目的</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2、评价方法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根据《桃江县财政性资金绩效评价实施方案》及县财政局会议精神，由财政所牵头，其他部门配合，专门成立了绩效评价工作组，于</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年7月下旬起开展了部门整体支出绩效评价工作，具体工作方法包括：</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查阅资料。查阅</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年度预算安排、预算追加、经费支出、资金管理、资产管理等相关文件资料和财务凭证。</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核实数据。对</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年度部门整体支出数据的准确性、真实性进行核实。</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对比分析。将</w:t>
      </w:r>
      <w:r>
        <w:rPr>
          <w:rFonts w:hint="eastAsia" w:ascii="仿宋_GB2312"/>
          <w:sz w:val="32"/>
          <w:szCs w:val="32"/>
          <w:lang w:eastAsia="zh-CN"/>
        </w:rPr>
        <w:t>20</w:t>
      </w:r>
      <w:r>
        <w:rPr>
          <w:rFonts w:hint="eastAsia" w:ascii="仿宋_GB2312"/>
          <w:sz w:val="32"/>
          <w:szCs w:val="32"/>
          <w:lang w:val="en-US" w:eastAsia="zh-CN"/>
        </w:rPr>
        <w:t>21</w:t>
      </w:r>
      <w:r>
        <w:rPr>
          <w:rFonts w:hint="eastAsia" w:ascii="仿宋_GB2312" w:eastAsia="仿宋_GB2312"/>
          <w:sz w:val="32"/>
          <w:szCs w:val="32"/>
        </w:rPr>
        <w:t>年度部门整体支出情况与20</w:t>
      </w:r>
      <w:r>
        <w:rPr>
          <w:rFonts w:hint="eastAsia" w:ascii="仿宋_GB2312"/>
          <w:sz w:val="32"/>
          <w:szCs w:val="32"/>
          <w:lang w:val="en-US" w:eastAsia="zh-CN"/>
        </w:rPr>
        <w:t>20</w:t>
      </w:r>
      <w:r>
        <w:rPr>
          <w:rFonts w:hint="eastAsia" w:ascii="仿宋_GB2312" w:eastAsia="仿宋_GB2312"/>
          <w:sz w:val="32"/>
          <w:szCs w:val="32"/>
        </w:rPr>
        <w:t>年度预算</w:t>
      </w:r>
      <w:r>
        <w:rPr>
          <w:rFonts w:hint="eastAsia" w:ascii="仿宋_GB2312" w:eastAsia="仿宋_GB2312"/>
          <w:sz w:val="32"/>
          <w:szCs w:val="32"/>
          <w:lang w:eastAsia="zh-CN"/>
        </w:rPr>
        <w:t>进行对比分析</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实地查看。现场查看各类实物资产。</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汇总归纳。根据取得的各项数据及文件资料，结合现场评价情况进行综合分析、归纳汇总，填写基础数据表、评价指标评分表。</w:t>
      </w:r>
    </w:p>
    <w:p>
      <w:pPr>
        <w:keepNext w:val="0"/>
        <w:keepLines w:val="0"/>
        <w:pageBreakBefore w:val="0"/>
        <w:numPr>
          <w:ilvl w:val="1"/>
          <w:numId w:val="3"/>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形成绩效评价报告</w:t>
      </w:r>
    </w:p>
    <w:p>
      <w:pPr>
        <w:keepNext w:val="0"/>
        <w:keepLines w:val="0"/>
        <w:pageBreakBefore w:val="0"/>
        <w:numPr>
          <w:ilvl w:val="0"/>
          <w:numId w:val="0"/>
        </w:numPr>
        <w:kinsoku/>
        <w:wordWrap/>
        <w:overflowPunct/>
        <w:topLinePunct w:val="0"/>
        <w:autoSpaceDE/>
        <w:autoSpaceDN/>
        <w:bidi w:val="0"/>
        <w:adjustRightInd/>
        <w:snapToGrid/>
        <w:spacing w:line="540" w:lineRule="exact"/>
        <w:ind w:left="420" w:leftChars="0"/>
        <w:textAlignment w:val="auto"/>
        <w:rPr>
          <w:rFonts w:hint="eastAsia" w:ascii="仿宋_GB2312" w:eastAsia="仿宋_GB2312"/>
          <w:sz w:val="32"/>
          <w:szCs w:val="32"/>
        </w:rPr>
      </w:pPr>
    </w:p>
    <w:p>
      <w:pPr>
        <w:keepNext w:val="0"/>
        <w:keepLines w:val="0"/>
        <w:pageBreakBefore w:val="0"/>
        <w:numPr>
          <w:ilvl w:val="0"/>
          <w:numId w:val="4"/>
        </w:numPr>
        <w:kinsoku/>
        <w:wordWrap/>
        <w:overflowPunct/>
        <w:topLinePunct w:val="0"/>
        <w:autoSpaceDE/>
        <w:autoSpaceDN/>
        <w:bidi w:val="0"/>
        <w:adjustRightInd/>
        <w:snapToGrid/>
        <w:spacing w:line="540" w:lineRule="exact"/>
        <w:ind w:leftChars="0"/>
        <w:textAlignment w:val="auto"/>
        <w:rPr>
          <w:rFonts w:hint="eastAsia" w:ascii="仿宋_GB2312" w:eastAsia="仿宋_GB2312"/>
          <w:b/>
          <w:sz w:val="32"/>
          <w:szCs w:val="32"/>
          <w:lang w:eastAsia="zh-CN"/>
        </w:rPr>
      </w:pPr>
      <w:r>
        <w:rPr>
          <w:rFonts w:hint="eastAsia" w:ascii="仿宋_GB2312" w:eastAsia="仿宋_GB2312"/>
          <w:b/>
          <w:sz w:val="32"/>
          <w:szCs w:val="32"/>
          <w:lang w:eastAsia="zh-CN"/>
        </w:rPr>
        <w:t>存在的主要问题</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预算编制的合理性有待提高。村管费、补助村民委员会等支出编制预算时纳入项目支出，决算时其经济科目在基本支出中核算</w:t>
      </w:r>
      <w:r>
        <w:rPr>
          <w:rFonts w:hint="eastAsia" w:ascii="仿宋_GB2312" w:hAnsi="宋体" w:eastAsia="仿宋_GB2312" w:cs="宋体"/>
          <w:kern w:val="0"/>
          <w:sz w:val="36"/>
          <w:szCs w:val="36"/>
        </w:rPr>
        <w:t>，</w:t>
      </w:r>
      <w:r>
        <w:rPr>
          <w:rFonts w:hint="eastAsia" w:ascii="仿宋_GB2312" w:hAnsi="Times New Roman" w:eastAsia="仿宋_GB2312" w:cs="Times New Roman"/>
          <w:kern w:val="2"/>
          <w:sz w:val="32"/>
          <w:szCs w:val="32"/>
          <w:lang w:val="en-US" w:eastAsia="zh-CN" w:bidi="ar-SA"/>
        </w:rPr>
        <w:t>预算编制工作需更细化，财政部门监督缺乏有效手段，部门之</w:t>
      </w:r>
      <w:r>
        <w:rPr>
          <w:rFonts w:hint="eastAsia" w:ascii="仿宋_GB2312" w:eastAsia="仿宋_GB2312" w:cs="Times New Roman"/>
          <w:kern w:val="2"/>
          <w:sz w:val="32"/>
          <w:szCs w:val="32"/>
          <w:lang w:val="en-US" w:eastAsia="zh-CN" w:bidi="ar-SA"/>
        </w:rPr>
        <w:t>间</w:t>
      </w:r>
      <w:r>
        <w:rPr>
          <w:rFonts w:hint="eastAsia" w:ascii="仿宋_GB2312" w:hAnsi="Times New Roman" w:eastAsia="仿宋_GB2312" w:cs="Times New Roman"/>
          <w:kern w:val="2"/>
          <w:sz w:val="32"/>
          <w:szCs w:val="32"/>
          <w:lang w:val="en-US" w:eastAsia="zh-CN" w:bidi="ar-SA"/>
        </w:rPr>
        <w:t>缺乏协调共管，使项目实施不顺畅，使资金到位实效性差，影响使用效益</w:t>
      </w:r>
      <w:r>
        <w:rPr>
          <w:rFonts w:hint="eastAsia" w:ascii="仿宋_GB2312" w:eastAsia="仿宋_GB2312" w:cs="Times New Roman"/>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eastAsia="仿宋_GB2312"/>
          <w:b/>
          <w:sz w:val="32"/>
          <w:szCs w:val="32"/>
        </w:rPr>
      </w:pPr>
      <w:r>
        <w:rPr>
          <w:rFonts w:hint="eastAsia" w:ascii="仿宋_GB2312" w:eastAsia="仿宋_GB2312"/>
          <w:b/>
          <w:sz w:val="32"/>
          <w:szCs w:val="32"/>
          <w:lang w:eastAsia="zh-CN"/>
        </w:rPr>
        <w:t>七、改进措施和建议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根据我镇部门整体支出管理工作的需要，拟实施改进措施如下：</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sz w:val="32"/>
          <w:szCs w:val="32"/>
        </w:rPr>
      </w:pPr>
      <w:r>
        <w:rPr>
          <w:rFonts w:hint="eastAsia" w:ascii="仿宋_GB2312"/>
          <w:sz w:val="32"/>
          <w:szCs w:val="32"/>
          <w:lang w:val="en-US" w:eastAsia="zh-CN"/>
        </w:rPr>
        <w:t>1、</w:t>
      </w:r>
      <w:r>
        <w:rPr>
          <w:rFonts w:hint="eastAsia" w:ascii="仿宋_GB2312" w:eastAsia="仿宋_GB2312"/>
          <w:sz w:val="32"/>
          <w:szCs w:val="32"/>
        </w:rPr>
        <w:t>细化预算编制工作，严格按照预算编制的相关制度和要求做好预算的编制，进一步加强各站所的预算管理意识；全面编制预算项目，优先保障固定的、相对刚性的费用支出项目，尽量压缩变动的、有控制空间的费用项目，进一步提高预算编制的科学性、严谨性和可控性。</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sz w:val="32"/>
          <w:szCs w:val="32"/>
        </w:rPr>
      </w:pPr>
      <w:r>
        <w:rPr>
          <w:rFonts w:hint="eastAsia" w:ascii="仿宋_GB2312"/>
          <w:sz w:val="32"/>
          <w:szCs w:val="32"/>
          <w:lang w:val="en-US" w:eastAsia="zh-CN"/>
        </w:rPr>
        <w:t>2、</w:t>
      </w:r>
      <w:r>
        <w:rPr>
          <w:rFonts w:hint="eastAsia" w:ascii="仿宋_GB2312" w:eastAsia="仿宋_GB2312"/>
          <w:sz w:val="32"/>
          <w:szCs w:val="32"/>
        </w:rPr>
        <w:t>建立健全财务管理制度及内部控制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eastAsia="仿宋_GB2312"/>
          <w:sz w:val="32"/>
          <w:szCs w:val="32"/>
        </w:rPr>
      </w:pPr>
      <w:r>
        <w:rPr>
          <w:rFonts w:hint="eastAsia" w:ascii="仿宋_GB2312"/>
          <w:sz w:val="32"/>
          <w:szCs w:val="32"/>
          <w:lang w:val="en-US" w:eastAsia="zh-CN"/>
        </w:rPr>
        <w:t>3、</w:t>
      </w:r>
      <w:r>
        <w:rPr>
          <w:rFonts w:hint="eastAsia" w:ascii="仿宋_GB2312" w:eastAsia="仿宋_GB2312"/>
          <w:sz w:val="32"/>
          <w:szCs w:val="32"/>
        </w:rPr>
        <w:t>按照财政支出绩效管理的要求，建立科学的财政资金效益考评体系，牢固树立行政成本意识，不断提高财政资金使用管理的水平和效率。</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3840" w:firstLineChars="1200"/>
        <w:jc w:val="righ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桃江县马迹塘镇人民政府</w:t>
      </w:r>
    </w:p>
    <w:p>
      <w:pPr>
        <w:keepNext w:val="0"/>
        <w:keepLines w:val="0"/>
        <w:pageBreakBefore w:val="0"/>
        <w:kinsoku/>
        <w:wordWrap/>
        <w:overflowPunct/>
        <w:topLinePunct w:val="0"/>
        <w:autoSpaceDE/>
        <w:autoSpaceDN/>
        <w:bidi w:val="0"/>
        <w:adjustRightInd/>
        <w:snapToGrid/>
        <w:spacing w:line="540" w:lineRule="exact"/>
        <w:jc w:val="right"/>
        <w:textAlignment w:val="auto"/>
      </w:pPr>
      <w:r>
        <w:rPr>
          <w:rFonts w:hint="eastAsia" w:ascii="仿宋_GB2312" w:eastAsia="仿宋_GB2312"/>
          <w:sz w:val="32"/>
          <w:szCs w:val="32"/>
        </w:rPr>
        <w:t xml:space="preserve">                          20</w:t>
      </w:r>
      <w:r>
        <w:rPr>
          <w:rFonts w:hint="eastAsia" w:ascii="仿宋_GB2312"/>
          <w:sz w:val="32"/>
          <w:szCs w:val="32"/>
          <w:lang w:val="en-US" w:eastAsia="zh-CN"/>
        </w:rPr>
        <w:t>22</w:t>
      </w:r>
      <w:r>
        <w:rPr>
          <w:rFonts w:hint="eastAsia" w:ascii="仿宋_GB2312" w:eastAsia="仿宋_GB2312"/>
          <w:sz w:val="32"/>
          <w:szCs w:val="32"/>
        </w:rPr>
        <w:t>年</w:t>
      </w:r>
      <w:r>
        <w:rPr>
          <w:rFonts w:hint="eastAsia" w:ascii="仿宋_GB2312"/>
          <w:sz w:val="32"/>
          <w:szCs w:val="32"/>
          <w:lang w:val="en-US" w:eastAsia="zh-CN"/>
        </w:rPr>
        <w:t>3</w:t>
      </w:r>
      <w:r>
        <w:rPr>
          <w:rFonts w:hint="eastAsia" w:ascii="仿宋_GB2312" w:eastAsia="仿宋_GB2312"/>
          <w:sz w:val="32"/>
          <w:szCs w:val="32"/>
        </w:rPr>
        <w:t>月</w:t>
      </w:r>
      <w:r>
        <w:rPr>
          <w:rFonts w:hint="eastAsia" w:ascii="仿宋_GB2312"/>
          <w:sz w:val="32"/>
          <w:szCs w:val="32"/>
          <w:lang w:val="en-US" w:eastAsia="zh-CN"/>
        </w:rPr>
        <w:t>10日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6</w:t>
    </w:r>
    <w:r>
      <w:rPr>
        <w:sz w:val="28"/>
        <w:szCs w:val="28"/>
      </w:rPr>
      <w:fldChar w:fldCharType="end"/>
    </w:r>
    <w:r>
      <w:rPr>
        <w:rFonts w:hint="eastAsia"/>
        <w:sz w:val="28"/>
        <w:szCs w:val="28"/>
      </w:rPr>
      <w:t xml:space="preserve"> </w:t>
    </w:r>
    <w:r>
      <w:rPr>
        <w:rStyle w:val="6"/>
        <w:rFonts w:hint="eastAsia"/>
        <w:sz w:val="28"/>
        <w:szCs w:val="28"/>
      </w:rPr>
      <w:t>—</w:t>
    </w:r>
  </w:p>
  <w:p>
    <w:pPr>
      <w:pStyle w:val="2"/>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E5595"/>
    <w:multiLevelType w:val="multilevel"/>
    <w:tmpl w:val="0E1E5595"/>
    <w:lvl w:ilvl="0" w:tentative="0">
      <w:start w:val="1"/>
      <w:numFmt w:val="japaneseCounting"/>
      <w:lvlText w:val="%1、"/>
      <w:lvlJc w:val="left"/>
      <w:pPr>
        <w:tabs>
          <w:tab w:val="left" w:pos="420"/>
        </w:tabs>
        <w:ind w:left="420" w:hanging="4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843D4F"/>
    <w:multiLevelType w:val="multilevel"/>
    <w:tmpl w:val="57843D4F"/>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B7E7AEC"/>
    <w:multiLevelType w:val="singleLevel"/>
    <w:tmpl w:val="5B7E7AEC"/>
    <w:lvl w:ilvl="0" w:tentative="0">
      <w:start w:val="2"/>
      <w:numFmt w:val="chineseCounting"/>
      <w:suff w:val="nothing"/>
      <w:lvlText w:val="%1、"/>
      <w:lvlJc w:val="left"/>
    </w:lvl>
  </w:abstractNum>
  <w:abstractNum w:abstractNumId="3">
    <w:nsid w:val="5B7E7EF5"/>
    <w:multiLevelType w:val="singleLevel"/>
    <w:tmpl w:val="5B7E7EF5"/>
    <w:lvl w:ilvl="0" w:tentative="0">
      <w:start w:val="6"/>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MjA3ZDI3NzdjYWE5NjkyYzFiM2IxMWI2MWY1NTUifQ=="/>
  </w:docVars>
  <w:rsids>
    <w:rsidRoot w:val="230812C2"/>
    <w:rsid w:val="00C62714"/>
    <w:rsid w:val="07CF2E3A"/>
    <w:rsid w:val="0A886720"/>
    <w:rsid w:val="11FE0008"/>
    <w:rsid w:val="13AE5F91"/>
    <w:rsid w:val="230812C2"/>
    <w:rsid w:val="289B7D65"/>
    <w:rsid w:val="2A886A6B"/>
    <w:rsid w:val="350B5DF0"/>
    <w:rsid w:val="355F5EC8"/>
    <w:rsid w:val="4E824F2D"/>
    <w:rsid w:val="4FF754A7"/>
    <w:rsid w:val="53AA0A2F"/>
    <w:rsid w:val="5563028F"/>
    <w:rsid w:val="579D6934"/>
    <w:rsid w:val="74C105C9"/>
    <w:rsid w:val="7ADB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2022-11-15T08:12:00Z</dcterms:created>
  <dc:creator>land</dc:creator>
  <cp:lastModifiedBy>W.A.N.G</cp:lastModifiedBy>
  <dcterms:modified xsi:type="dcterms:W3CDTF">2023-09-01T00:30:10Z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2CDFFB95C59642129EE11AF1EDD349B6</vt:lpwstr>
  </property>
</Properties>
</file>