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华文中宋" w:hAnsi="华文中宋" w:eastAsia="华文中宋" w:cs="华文中宋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2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kern w:val="2"/>
          <w:sz w:val="44"/>
          <w:szCs w:val="44"/>
        </w:rPr>
        <w:t>年部门整体支出绩效目标表</w:t>
      </w:r>
    </w:p>
    <w:tbl>
      <w:tblPr>
        <w:tblStyle w:val="3"/>
        <w:tblW w:w="104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14"/>
        <w:gridCol w:w="310"/>
        <w:gridCol w:w="4106"/>
        <w:gridCol w:w="44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gridBefore w:val="1"/>
          <w:wBefore w:w="453" w:type="dxa"/>
          <w:trHeight w:val="395" w:hRule="atLeast"/>
          <w:jc w:val="center"/>
        </w:trPr>
        <w:tc>
          <w:tcPr>
            <w:tcW w:w="11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部门名称</w:t>
            </w:r>
          </w:p>
        </w:tc>
        <w:tc>
          <w:tcPr>
            <w:tcW w:w="883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ind w:left="0" w:firstLine="66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桃江县医疗保障局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3" w:type="dxa"/>
          <w:trHeight w:val="369" w:hRule="atLeast"/>
          <w:jc w:val="center"/>
        </w:trPr>
        <w:tc>
          <w:tcPr>
            <w:tcW w:w="111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年度预算申请</w:t>
            </w: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8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资金总额：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581.22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3" w:type="dxa"/>
          <w:trHeight w:val="401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按收入性质分：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3" w:type="dxa"/>
          <w:trHeight w:val="369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其中：一般公共预算：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581.22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其中：基本支出：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516.22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3" w:type="dxa"/>
          <w:trHeight w:val="381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政府性基金拨款：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项目支出：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3" w:type="dxa"/>
          <w:trHeight w:val="369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纳入专户管理的非税收入拨款：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ind w:left="0" w:firstLine="66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3" w:type="dxa"/>
          <w:trHeight w:val="369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其他资金：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ind w:left="0" w:firstLine="66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3" w:type="dxa"/>
          <w:trHeight w:val="92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部门职能职责概述</w:t>
            </w:r>
          </w:p>
        </w:tc>
        <w:tc>
          <w:tcPr>
            <w:tcW w:w="8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1、拟订全县医疗保险、生育保险、医疗救助等医疗保障制度的政策、规划和标准并组织实施。 </w:t>
            </w: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2、贯彻实施医疗保障基金监督管理办法 </w:t>
            </w: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3、贯彻实施医疗保障筹资和待遇政策，统筹城乡医疗保障待遇标准，建立健全与筹资水平相适应的待遇调整机制。 </w:t>
            </w: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4、贯彻实施城乡药品、医用耗材、医疗服务设施等医保目录和支付标准，建立动态调整机制。 </w:t>
            </w: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5、贯彻实施药品、医用耗材价格和医疗服务项目医疗服务设施收费等政策，立价格信息监测和信息发布制度。 </w:t>
            </w: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6、监督实施药品、医用耗材的招标采购政策。 </w:t>
            </w: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7、制定全县定点医药机构协议和支付管理办法并组织实施，依法查处医疗保障领域违法违规行为。 </w:t>
            </w: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8、负责指导、监督全县医疗保障经办和公共服务体系、信息化建设。 </w:t>
            </w: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9、完成县委、县政府交办的其他任务。 </w:t>
            </w: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10、职能转变：完善统一的城乡居民基本医疗保险制度和大病保险制度，巩固完善城乡居民医疗救助制度，建立健全覆盖全民、城乡统筹的多层次医疗保障体系。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3" w:type="dxa"/>
          <w:trHeight w:val="127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整体绩效目标</w:t>
            </w:r>
          </w:p>
        </w:tc>
        <w:tc>
          <w:tcPr>
            <w:tcW w:w="8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1、完成上级下达的各项目标任务。</w:t>
            </w: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2、贯彻落实全县医疗保险政策工作，确保医保基金保值增值，保障参保人员待遇。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3" w:type="dxa"/>
          <w:trHeight w:val="369" w:hRule="atLeast"/>
          <w:jc w:val="center"/>
        </w:trPr>
        <w:tc>
          <w:tcPr>
            <w:tcW w:w="111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ind w:left="0" w:firstLine="66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部门整体支出年度绩效指标</w:t>
            </w: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ind w:left="0" w:firstLine="66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一级指标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ind w:left="0" w:firstLine="66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3" w:type="dxa"/>
          <w:trHeight w:val="1988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产出指标（有效指标≧3个，包括数量指标、质量指标、时效指标、成本指标）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1、职工医保和居民医保参保人数≧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692000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人。</w:t>
            </w: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2、职工医保和居民医保参保率达常住人口的95%。</w:t>
            </w:r>
          </w:p>
          <w:p>
            <w:pPr>
              <w:spacing w:before="0" w:beforeAutospacing="0" w:after="2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3、保障权限待遇享受人员的待遇及时支付，支付率达100%。</w:t>
            </w:r>
          </w:p>
          <w:p>
            <w:pPr>
              <w:spacing w:before="0" w:beforeAutospacing="0" w:after="2" w:afterAutospacing="0"/>
              <w:ind w:left="0" w:firstLine="66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1877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ind w:left="0" w:firstLine="66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效益指标</w:t>
            </w:r>
          </w:p>
          <w:p>
            <w:pPr>
              <w:spacing w:before="0" w:beforeAutospacing="0" w:after="2" w:afterAutospacing="0"/>
              <w:ind w:left="0" w:firstLine="66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（有效指标≧2个，包括经济效益指标、社会效益指标、生态效益指标、可持续影响指标、社会公众或服务对象满意度）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0" w:beforeAutospacing="0" w:after="2" w:afterAutospacing="0"/>
              <w:ind w:left="0" w:firstLine="66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1、积极落实上级各项医疗政策，减轻群众医疗负担。</w:t>
            </w:r>
          </w:p>
          <w:p>
            <w:pPr>
              <w:spacing w:before="0" w:beforeAutospacing="0" w:after="2" w:afterAutospacing="0"/>
              <w:ind w:left="0" w:firstLine="66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2、切实保障医保参保人员合法权益、维护基金安全。</w:t>
            </w:r>
          </w:p>
          <w:p>
            <w:pPr>
              <w:spacing w:before="0" w:beforeAutospacing="0" w:after="2" w:afterAutospacing="0"/>
              <w:ind w:left="0" w:firstLine="66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3、群众满意度≧90%。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MjU4YmVhMDIyMzFkNjZjZGIzMGJmZWRhMWM3MzQifQ=="/>
  </w:docVars>
  <w:rsids>
    <w:rsidRoot w:val="00000000"/>
    <w:rsid w:val="003D0404"/>
    <w:rsid w:val="05C72C4A"/>
    <w:rsid w:val="07E04050"/>
    <w:rsid w:val="0D115929"/>
    <w:rsid w:val="15553757"/>
    <w:rsid w:val="349F242B"/>
    <w:rsid w:val="6254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1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833</Characters>
  <Lines>0</Lines>
  <Paragraphs>0</Paragraphs>
  <TotalTime>7</TotalTime>
  <ScaleCrop>false</ScaleCrop>
  <LinksUpToDate>false</LinksUpToDate>
  <CharactersWithSpaces>842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2023-02-16T02:59:00Z</dcterms:created>
  <dc:creator>86185</dc:creator>
  <cp:lastModifiedBy>桃江县医疗保障局系统管理员</cp:lastModifiedBy>
  <dcterms:modified xsi:type="dcterms:W3CDTF">2024-01-30T02:49:19Z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32190A1832D54659AB81BF3F173F2B42_13</vt:lpwstr>
  </property>
</Properties>
</file>