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B8753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8D301B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12430922G01820904R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4045C08">
      <w:pPr>
        <w:jc w:val="right"/>
        <w:rPr>
          <w:lang w:val="en-US"/>
        </w:rPr>
      </w:pPr>
    </w:p>
    <w:p w14:paraId="763C2066">
      <w:pPr>
        <w:jc w:val="right"/>
        <w:rPr>
          <w:lang w:val="en-US"/>
        </w:rPr>
      </w:pPr>
    </w:p>
    <w:p w14:paraId="6AB75639">
      <w:pPr>
        <w:jc w:val="right"/>
        <w:rPr>
          <w:lang w:val="en-US"/>
        </w:rPr>
      </w:pPr>
    </w:p>
    <w:p w14:paraId="038F56A6">
      <w:pPr>
        <w:jc w:val="right"/>
        <w:rPr>
          <w:lang w:val="en-US"/>
        </w:rPr>
      </w:pPr>
    </w:p>
    <w:p w14:paraId="60E057BF">
      <w:pPr>
        <w:jc w:val="right"/>
        <w:rPr>
          <w:lang w:val="en-US"/>
        </w:rPr>
      </w:pPr>
    </w:p>
    <w:p w14:paraId="3349092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AE1486E">
      <w:pPr>
        <w:jc w:val="center"/>
        <w:rPr>
          <w:rFonts w:eastAsia="黑体"/>
          <w:b/>
          <w:bCs/>
          <w:spacing w:val="30"/>
          <w:lang w:val="en-US"/>
        </w:rPr>
      </w:pPr>
    </w:p>
    <w:p w14:paraId="362657CE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3D7DA9B">
      <w:pPr>
        <w:jc w:val="center"/>
        <w:rPr>
          <w:sz w:val="36"/>
          <w:szCs w:val="24"/>
          <w:lang w:val="en-US"/>
        </w:rPr>
      </w:pPr>
    </w:p>
    <w:p w14:paraId="0A9810C0">
      <w:pPr>
        <w:jc w:val="center"/>
        <w:rPr>
          <w:sz w:val="36"/>
          <w:szCs w:val="24"/>
          <w:lang w:val="en-US"/>
        </w:rPr>
      </w:pPr>
    </w:p>
    <w:p w14:paraId="537CF490">
      <w:pPr>
        <w:jc w:val="center"/>
        <w:rPr>
          <w:sz w:val="36"/>
          <w:szCs w:val="24"/>
          <w:lang w:val="en-US"/>
        </w:rPr>
      </w:pPr>
    </w:p>
    <w:p w14:paraId="6952B85A">
      <w:pPr>
        <w:jc w:val="center"/>
        <w:rPr>
          <w:sz w:val="36"/>
          <w:szCs w:val="24"/>
          <w:lang w:val="en-US"/>
        </w:rPr>
      </w:pPr>
    </w:p>
    <w:p w14:paraId="1C17BB1C">
      <w:pPr>
        <w:jc w:val="center"/>
        <w:rPr>
          <w:sz w:val="36"/>
          <w:szCs w:val="24"/>
          <w:lang w:val="en-US"/>
        </w:rPr>
      </w:pPr>
    </w:p>
    <w:p w14:paraId="1BC2E2A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681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C3621A4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19962D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益阳市桃江生态环境监测站</w:t>
            </w:r>
          </w:p>
        </w:tc>
      </w:tr>
    </w:tbl>
    <w:p w14:paraId="07FB673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302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65E391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02CCC6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754C6A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0D3B86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1A74E4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8324292">
      <w:pPr>
        <w:jc w:val="center"/>
        <w:rPr>
          <w:u w:val="single"/>
          <w:lang w:val="en-US"/>
        </w:rPr>
      </w:pPr>
    </w:p>
    <w:p w14:paraId="23C48DF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2D36F8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465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769B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0C308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C19C0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8CE41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B614B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6DAE88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1FC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72EAB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益阳市桃江生态环境监测站</w:t>
            </w:r>
          </w:p>
        </w:tc>
      </w:tr>
      <w:tr w14:paraId="3D85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4562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CFE6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EE7F5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91B73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为环境保护提供监测保障。 环境质量监测 专项环境监测 污染源监测 环境监测科研 环境监测服务 环境监测网运行管理 环境监测人员培训 环境监测技术交流</w:t>
            </w:r>
          </w:p>
        </w:tc>
      </w:tr>
      <w:tr w14:paraId="2A44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AF4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634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45297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桃江县桃花江镇花桥路8号</w:t>
            </w:r>
          </w:p>
        </w:tc>
      </w:tr>
      <w:tr w14:paraId="4256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8528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853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6C5B6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胡放军</w:t>
            </w:r>
          </w:p>
        </w:tc>
      </w:tr>
      <w:tr w14:paraId="26BB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402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1868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E3DB4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12.6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144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29D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CB5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9AB9E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5436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428A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73C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6360A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益阳市生态环境局桃江分局</w:t>
            </w:r>
          </w:p>
        </w:tc>
      </w:tr>
      <w:tr w14:paraId="0B4B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FCB6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876FA6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931A04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D0813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E12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928E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01EEA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C7876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249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5AE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1296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850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697630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850</w:t>
            </w:r>
          </w:p>
        </w:tc>
      </w:tr>
      <w:tr w14:paraId="12AD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2A070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1844F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益阳市桃江生态环境监测站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C5E0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0E544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13</w:t>
            </w:r>
          </w:p>
        </w:tc>
      </w:tr>
      <w:tr w14:paraId="76D4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A8B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2C602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64097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BF236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F2B91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8B3D6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574E8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410C9A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D963D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严格执行各项条例</w:t>
            </w:r>
          </w:p>
        </w:tc>
      </w:tr>
      <w:tr w14:paraId="08EF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45D65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61CA1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5D88C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03403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F05AD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E0325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27A80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88BF38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AC2023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一、人员、设备、环境能力变化情况： 2023年，我站技术人员新增一名硕士研究生，提高了监测能力水平；检验检测设备、检验检测环境、检验能力均未发生大的变化。 二、检验检测基本情况： 2023年，我站共发放检测报告4份，由于报告编制、审核、签发人员认真履行职责，所有检测报告未发现明显错误，检测报告抽查合格率、及时率达到100%，实现了本站既定的控制性质量方针及目标。 三、客户反馈、举报投诉及处理情况： 我站建立健全系列防止影响检测公正性的制度和措施；在检测过程中未出现牟取不当利益和违规现象，我站关于客户意见、申诉投诉的制度健全，渠道畅通，未收到客户申诉和投诉，客户对我站的监测工作评价较高。 四、年度内审实施情况： 我站于2023年10月10日-12日实施了内审。本站于内审前制定了内部审核计划和内审检查表，由质量负责人召集内审组成员于10月10-12日对质量体系运行情况进行了全面审核，分别对站长、技术负责人、质量负责人、办公室、中心分析室、质量保证室、应急监测室、污染源监督室、综合室等人员及科室进行审查，审核人员都经内审员培训且获得内审员资格证。共发现2处不符合项，分别为：1、办公室2023年人员培训资料不全面；2、样品室没有进行区域划分。存在的问题：2023年的内部审核共出具2个内审不合格报告，其中体系不合格项0项；实施性不符合2项，这些不符合项全部为一般性质、实施性不符合，未发现严重不符合项。对发现的问题及时反馈给有关科室，并提出了限期改进的措施，相关部门负责人在限期前对改进措施落实情况进行跟踪检查，并向质量负责人报告。在管理评审前所有不符合项都已得到了纠正。内审结果表明：我站制定的质量方针、质量目标符合单位实际情况，质量体系覆盖了中心质量活动的所有要素，体系运行基本有效；中心各部门基本能够按照质量手册、程序文件、作业指导书及记录的要求开展和实施质量管理活动，并保存了大量的质量记录，记录逐步规范、完整、清楚符合要求，质量体系符合本站目前实际情况并有效运行。 五、年度管理评审实施情况： 我站于2023年11月27日实施了管理评审。管理评审由中心主任组织和主持，本次管理评审对本站2023年质量体系运行情况进行评审，以确保其持续适用和有效，并做必要的修改和改进。本次管理评审情况如下（1）方针、目标及程序的适用性；（2）质量监督报告；（3）2022年度实验室间比对及能力验证汇总；（3）申诉、投诉及客户反馈意见情况；（5）内审情况总结；（5）纠正、预防和改进措施实施情况；（6）纠正/预防措施；（7）质量方针、目标实施情况分析报告；（8）2023年度人员素质和培训情况；（9）质量体系适用性。随后参会人员对以上材料进行了热烈的讨论，中心主任进行了总结性发言。本次管理评审结果表明：我站的《质量手册》、《程序文件》适合中心实验室管理体系的运行；监测工作和质量管理工作做到制度化、规范化；质量方针、质量目标的制定切合实际，完成情况良好。2023年中心实验室根据《检验检测机构资质认定评审准则》的要求，在硬件配置、体系管理、质量控制方面都有很大的改观和完善。质量目标中检测差错率、客户满意度等统计数据的完成情况表明，实验室能够对客户负责，内部管理完善，所出具的检测报告客观、公正、准确，符合标准的要求，实验室质量管理体系得以良好的运行，有效地促进了监测工作质量的提高，为环境管理提供了科学依据 </w:t>
            </w:r>
          </w:p>
          <w:p w14:paraId="67A96CC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D11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624E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996C6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本站依法注册并进行合法有效登记，事业单位法人证书编号为：12430922G01820904R，有效期为：2020年03月05日至2025年03月05日。</w:t>
            </w:r>
          </w:p>
        </w:tc>
      </w:tr>
      <w:tr w14:paraId="7DB8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7A78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A33F8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1C9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F26EB5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A5C3C3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62F4C4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F96EFD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C015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1789</Words>
  <Characters>1903</Characters>
  <Lines>4</Lines>
  <Paragraphs>1</Paragraphs>
  <TotalTime>45455.6875000016</TotalTime>
  <ScaleCrop>false</ScaleCrop>
  <LinksUpToDate>false</LinksUpToDate>
  <CharactersWithSpaces>1956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2024-06-12T08:53:25Z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5D9D3373AAF94923BD26041DA1576B22_13</vt:lpwstr>
  </property>
</Properties>
</file>