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977B7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4E7B090">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12430922355558468Q</w:t>
      </w:r>
      <w:r>
        <w:rPr>
          <w:rFonts w:eastAsia="楷体_GB2312"/>
          <w:b/>
          <w:bCs/>
          <w:sz w:val="30"/>
          <w:szCs w:val="24"/>
          <w:lang w:val="en-US"/>
        </w:rPr>
        <w:t xml:space="preserve">   </w:t>
      </w:r>
    </w:p>
    <w:p w14:paraId="1E7213DB">
      <w:pPr>
        <w:jc w:val="right"/>
        <w:rPr>
          <w:lang w:val="en-US"/>
        </w:rPr>
      </w:pPr>
    </w:p>
    <w:p w14:paraId="09EAF007">
      <w:pPr>
        <w:jc w:val="right"/>
        <w:rPr>
          <w:lang w:val="en-US"/>
        </w:rPr>
      </w:pPr>
    </w:p>
    <w:p w14:paraId="3A1446E1">
      <w:pPr>
        <w:jc w:val="right"/>
        <w:rPr>
          <w:lang w:val="en-US"/>
        </w:rPr>
      </w:pPr>
    </w:p>
    <w:p w14:paraId="35E6B43E">
      <w:pPr>
        <w:jc w:val="right"/>
        <w:rPr>
          <w:lang w:val="en-US"/>
        </w:rPr>
      </w:pPr>
    </w:p>
    <w:p w14:paraId="0C3D8729">
      <w:pPr>
        <w:jc w:val="right"/>
        <w:rPr>
          <w:lang w:val="en-US"/>
        </w:rPr>
      </w:pPr>
    </w:p>
    <w:p w14:paraId="247CB4CC">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E733EE8">
      <w:pPr>
        <w:jc w:val="center"/>
        <w:rPr>
          <w:rFonts w:eastAsia="黑体"/>
          <w:b/>
          <w:bCs/>
          <w:spacing w:val="30"/>
          <w:lang w:val="en-US"/>
        </w:rPr>
      </w:pPr>
    </w:p>
    <w:p w14:paraId="0628EF2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F0F6951">
      <w:pPr>
        <w:jc w:val="center"/>
        <w:rPr>
          <w:sz w:val="36"/>
          <w:szCs w:val="24"/>
          <w:lang w:val="en-US"/>
        </w:rPr>
      </w:pPr>
    </w:p>
    <w:p w14:paraId="5144373F">
      <w:pPr>
        <w:jc w:val="center"/>
        <w:rPr>
          <w:sz w:val="36"/>
          <w:szCs w:val="24"/>
          <w:lang w:val="en-US"/>
        </w:rPr>
      </w:pPr>
    </w:p>
    <w:p w14:paraId="1F32B359">
      <w:pPr>
        <w:jc w:val="center"/>
        <w:rPr>
          <w:sz w:val="36"/>
          <w:szCs w:val="24"/>
          <w:lang w:val="en-US"/>
        </w:rPr>
      </w:pPr>
    </w:p>
    <w:p w14:paraId="56EEB486">
      <w:pPr>
        <w:jc w:val="center"/>
        <w:rPr>
          <w:sz w:val="36"/>
          <w:szCs w:val="24"/>
          <w:lang w:val="en-US"/>
        </w:rPr>
      </w:pPr>
    </w:p>
    <w:p w14:paraId="18BE9CFF">
      <w:pPr>
        <w:jc w:val="center"/>
        <w:rPr>
          <w:sz w:val="36"/>
          <w:szCs w:val="24"/>
          <w:lang w:val="en-US"/>
        </w:rPr>
      </w:pPr>
    </w:p>
    <w:p w14:paraId="4311058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3B9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4B17B20">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8AD2E27">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桃江县竹产业发展服务中心</w:t>
            </w:r>
          </w:p>
        </w:tc>
      </w:tr>
    </w:tbl>
    <w:p w14:paraId="11B7375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02C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F22ECE2">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70236C14">
            <w:pPr>
              <w:keepNext w:val="0"/>
              <w:keepLines w:val="0"/>
              <w:widowControl/>
              <w:suppressLineNumbers w:val="0"/>
              <w:jc w:val="left"/>
              <w:rPr>
                <w:kern w:val="0"/>
                <w:sz w:val="20"/>
                <w:szCs w:val="20"/>
                <w:bdr w:val="none" w:color="auto" w:sz="0" w:space="0"/>
                <w:lang w:val="en-US"/>
              </w:rPr>
            </w:pPr>
          </w:p>
        </w:tc>
      </w:tr>
    </w:tbl>
    <w:p w14:paraId="6C007B48">
      <w:pPr>
        <w:ind w:left="0" w:firstLine="723" w:firstLineChars="300"/>
        <w:rPr>
          <w:rFonts w:hint="eastAsia" w:ascii="黑体" w:hAnsi="宋体" w:eastAsia="黑体" w:cs="黑体"/>
          <w:b/>
          <w:bCs/>
          <w:sz w:val="24"/>
          <w:szCs w:val="24"/>
          <w:u w:val="single"/>
          <w:lang w:val="en-US"/>
        </w:rPr>
      </w:pPr>
    </w:p>
    <w:p w14:paraId="3858A844">
      <w:pPr>
        <w:jc w:val="center"/>
        <w:rPr>
          <w:rFonts w:hint="eastAsia" w:ascii="黑体" w:hAnsi="宋体" w:eastAsia="黑体" w:cs="黑体"/>
          <w:b/>
          <w:bCs/>
          <w:sz w:val="30"/>
          <w:szCs w:val="24"/>
          <w:u w:val="single"/>
          <w:lang w:val="en-US"/>
        </w:rPr>
      </w:pPr>
    </w:p>
    <w:p w14:paraId="18463866">
      <w:pPr>
        <w:jc w:val="center"/>
        <w:rPr>
          <w:rFonts w:hint="eastAsia" w:ascii="黑体" w:hAnsi="宋体" w:eastAsia="黑体" w:cs="黑体"/>
          <w:b/>
          <w:bCs/>
          <w:sz w:val="30"/>
          <w:szCs w:val="24"/>
          <w:u w:val="single"/>
          <w:lang w:val="en-US"/>
        </w:rPr>
      </w:pPr>
    </w:p>
    <w:p w14:paraId="5344DD1B">
      <w:pPr>
        <w:jc w:val="center"/>
        <w:rPr>
          <w:u w:val="single"/>
          <w:lang w:val="en-US"/>
        </w:rPr>
      </w:pPr>
    </w:p>
    <w:p w14:paraId="32EE209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9B17005">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87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AC9D6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9A7E9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3140F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DA93B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F7E50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2564F3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1868A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AD16AA0">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桃江县竹产业发展服务中心</w:t>
            </w:r>
          </w:p>
        </w:tc>
      </w:tr>
      <w:tr w14:paraId="6DDB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2B80F8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3118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4E4D1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CEC0EC0">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 xml:space="preserve">统筹全县竹资源的科学培育，促进竹产业的有序发展。 指导竹产业协会、合作社、企业规范建设；竹业企业的审核与报批；竹业企业的龙头企业申报；竹业企业的质量、生产标准的初步认定；竹资源培育基础设施的勘察、设计、验收；竹产业林业技术推广;林产品质量安全监管；相关社会服务。 </w:t>
            </w:r>
          </w:p>
        </w:tc>
      </w:tr>
      <w:tr w14:paraId="21F5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2E2749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3B1D6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EA4E07">
            <w:pPr>
              <w:jc w:val="left"/>
            </w:pPr>
            <w:r>
              <w:rPr>
                <w:rStyle w:val="19"/>
                <w:rFonts w:hint="eastAsia" w:ascii="楷体_GB2312" w:eastAsia="楷体_GB2312" w:cs="楷体_GB2312"/>
                <w:sz w:val="28"/>
                <w:szCs w:val="28"/>
                <w:bdr w:val="none" w:color="auto" w:sz="0" w:space="0"/>
                <w:lang w:val="en-US"/>
              </w:rPr>
              <w:t>桃江县桃花江镇谷山路351号</w:t>
            </w:r>
          </w:p>
        </w:tc>
      </w:tr>
      <w:tr w14:paraId="438C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42198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3A5FA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0521D4B">
            <w:pPr>
              <w:jc w:val="left"/>
            </w:pPr>
            <w:r>
              <w:rPr>
                <w:rStyle w:val="19"/>
                <w:rFonts w:hint="eastAsia" w:ascii="楷体_GB2312" w:eastAsia="楷体_GB2312" w:cs="楷体_GB2312"/>
                <w:sz w:val="28"/>
                <w:szCs w:val="28"/>
                <w:bdr w:val="none" w:color="auto" w:sz="0" w:space="0"/>
                <w:lang w:val="en-US"/>
              </w:rPr>
              <w:t>范建新</w:t>
            </w:r>
          </w:p>
        </w:tc>
      </w:tr>
      <w:tr w14:paraId="48DD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5313E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28D47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8A168A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36.745</w:t>
            </w:r>
            <w:r>
              <w:rPr>
                <w:rStyle w:val="19"/>
                <w:rFonts w:hint="eastAsia" w:ascii="楷体_GB2312" w:eastAsia="楷体_GB2312" w:cs="楷体_GB2312"/>
                <w:sz w:val="28"/>
                <w:szCs w:val="28"/>
                <w:bdr w:val="none" w:color="auto" w:sz="0" w:space="0"/>
              </w:rPr>
              <w:t>（万元）</w:t>
            </w:r>
          </w:p>
        </w:tc>
      </w:tr>
      <w:tr w14:paraId="60F9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16616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71D84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0DF980D">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D29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13C489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5ECB4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3DE881C">
            <w:pPr>
              <w:jc w:val="left"/>
            </w:pPr>
            <w:r>
              <w:rPr>
                <w:rStyle w:val="19"/>
                <w:rFonts w:hint="eastAsia" w:ascii="楷体_GB2312" w:eastAsia="楷体_GB2312" w:cs="楷体_GB2312"/>
                <w:sz w:val="28"/>
                <w:szCs w:val="28"/>
                <w:bdr w:val="none" w:color="auto" w:sz="0" w:space="0"/>
                <w:lang w:val="en-US"/>
              </w:rPr>
              <w:t>桃江县林业局</w:t>
            </w:r>
          </w:p>
        </w:tc>
      </w:tr>
      <w:tr w14:paraId="4E2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437921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F05012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2D0ED6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F0FC75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471D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212C17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9BB1906">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6F73F60">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4024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ED9497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82D15F6">
            <w:pPr>
              <w:jc w:val="center"/>
              <w:rPr>
                <w:sz w:val="32"/>
                <w:szCs w:val="24"/>
                <w:bdr w:val="none" w:color="auto" w:sz="0" w:space="0"/>
                <w:lang w:val="en-US"/>
              </w:rPr>
            </w:pPr>
            <w:r>
              <w:rPr>
                <w:rStyle w:val="18"/>
                <w:sz w:val="32"/>
                <w:szCs w:val="24"/>
                <w:bdr w:val="none" w:color="auto" w:sz="0" w:space="0"/>
                <w:lang w:val="en-US"/>
              </w:rPr>
              <w:t>36.745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09BEB36">
            <w:pPr>
              <w:jc w:val="center"/>
            </w:pPr>
            <w:r>
              <w:rPr>
                <w:rStyle w:val="19"/>
                <w:sz w:val="32"/>
                <w:szCs w:val="32"/>
                <w:bdr w:val="none" w:color="auto" w:sz="0" w:space="0"/>
                <w:lang w:val="en-US"/>
              </w:rPr>
              <w:t>35.963</w:t>
            </w:r>
          </w:p>
        </w:tc>
      </w:tr>
      <w:tr w14:paraId="0ECF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B86A10A">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5DCE98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桃江县竹产业发展服务中心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F69A2D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C0818E9">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20</w:t>
            </w:r>
          </w:p>
        </w:tc>
      </w:tr>
      <w:tr w14:paraId="3620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D8B8B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E23EF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516AE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96144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C299A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2FBD9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B9162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F41600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903A3C5">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2023年02月25日，开办资金由5万元变更为36.745万元，变更理由是：单位新成立，采购设施设备，固定资产增加。</w:t>
            </w:r>
          </w:p>
        </w:tc>
      </w:tr>
      <w:tr w14:paraId="1462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1A60F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CE7FC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30FB6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863F4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BE680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B34BD7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0AFE25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290738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741B36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中心主要职责与业务范围：统筹全县竹资源的科学培育，促进竹产业的有序发展。指导竹产业协会、合作社、企业规范建设；竹业企业的审核与报批；竹业企业的龙头企业申报；竹业企业的质量、生产标准的初步认定；竹资源培育基础设施的勘察、设计、验收；竹产业林业技术推广；林产品质量安全监管；相关社会服务。二、本年度开展工作情况：1、竹林资源培育持续发力。全年巩固提升12.4万亩笋竹两用林，新建笋竹两用林基地3000亩、“竹林+菌+黄精”复合经营示范基地300亩、竹林道400公里，建设5个省级高效笋竹示范基地、10个县级笋竹两用林基地。桃花江竹海完成2000亩丰产竹林抚育。开展索道集材采伐系统中试并通过专家评审；开辟笋竹材料运输绿色通道，发放通行证483张。2、园区发展布局初步成形。持续推进“一园五区多点”园区布局。目前，桃江高新区引进竹材精深加工企业12家；马迹塘笋竹特色产业园5万平方米标准化厂房已启动施工建设，进驻笋竹企业4家；沾溪、大栗港、鸬鹚渡等乡镇竹产业园区已初具规模。3、项目建设取得重要成果。大力实施精准招商，全年引进上市公司双枪科技并购惊石农业等竹旅文体康项目24个，总投资12.68亿元。全县新建成投产重点项目12个，整合项目资金3.5亿元。4、科技创新能力不断增强。全县新增笋竹产业发明专利36个，总计专利达251个。桃花江竹材科技获评国家级专精特新“小巨人”企业。惊石农业、波恩贝等企业成功申报市专家工作站。中国农科院、中国农大、中南林科大等科研院校与我县合作开展重大课题研究。5、品牌宣传推介亮点纷呈。全年共发表新闻稿件771篇，其中人民日报纸媒版面头条1篇、客户端2篇，央视刊播4条。先后在海南国际消博会、中国第十二届竹文化节、全国“以竹代塑”标准化工作推进会上作经验分享。接待国家林草局、国际竹藤组织等单位来桃调研考察100余次。6、产业融合发展成效显著。桃花江竹海景区成功创建4A级旅游景区、美人窝旅游度假区成功创建省级旅游度假区；湖南日报文旅集团在竹海设立全省新媒体教育培训基地，竹廉文化教育基地获评全市唯一的省清廉文化推广传播活动优秀阵地；桃花江竹乡休闲旅游廊道获评省乡村旅游精品廊道；美人谷山庄、栗农生态庄园成功创建为湖南省五星级乡村旅游区；初寻南村创建湖南省四星级旅游民宿、美人谷酒店创建国家四星级旅游饭店已通过省级验收；中南地区定向越野邀请赛在湖南省桃江县高桥镇罗溪景区开赛。发展竹乡精品民宿3家，竹乡农家乐6家。 </w:t>
            </w:r>
          </w:p>
          <w:p w14:paraId="1685096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7AD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D74005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5DBA823">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5EC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29DC572">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93FD48A">
            <w:pPr>
              <w:jc w:val="left"/>
            </w:pPr>
            <w:r>
              <w:rPr>
                <w:rStyle w:val="19"/>
                <w:rFonts w:hint="eastAsia" w:ascii="楷体_GB2312" w:eastAsia="楷体_GB2312" w:cs="楷体_GB2312"/>
                <w:sz w:val="28"/>
                <w:szCs w:val="28"/>
                <w:bdr w:val="none" w:color="auto" w:sz="0" w:space="0"/>
                <w:lang w:val="en-US"/>
              </w:rPr>
              <w:t>无</w:t>
            </w:r>
          </w:p>
        </w:tc>
      </w:tr>
      <w:tr w14:paraId="56A4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80F169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0DF082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FB3993F">
            <w:pPr>
              <w:jc w:val="left"/>
            </w:pPr>
            <w:r>
              <w:rPr>
                <w:rStyle w:val="19"/>
                <w:rFonts w:hint="eastAsia" w:ascii="楷体_GB2312" w:eastAsia="楷体_GB2312" w:cs="楷体_GB2312"/>
                <w:sz w:val="28"/>
                <w:szCs w:val="28"/>
                <w:bdr w:val="none" w:color="auto" w:sz="0" w:space="0"/>
                <w:lang w:val="en-US"/>
              </w:rPr>
              <w:t>无</w:t>
            </w:r>
          </w:p>
        </w:tc>
      </w:tr>
    </w:tbl>
    <w:p w14:paraId="0CEDE89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9AD5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1470</Words>
  <Characters>1566</Characters>
  <Lines>4</Lines>
  <Paragraphs>1</Paragraphs>
  <TotalTime>45456.4062500016</TotalTime>
  <ScaleCrop>false</ScaleCrop>
  <LinksUpToDate>false</LinksUpToDate>
  <CharactersWithSpaces>1604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2024-06-13T02:15:20Z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37D157F734BF4A1F9A73BD2402338BF5_13</vt:lpwstr>
  </property>
</Properties>
</file>