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005AAF6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3590D288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5"/>
          <w:b/>
          <w:bCs/>
          <w:sz w:val="30"/>
          <w:szCs w:val="30"/>
          <w:lang w:val="en-US"/>
        </w:rPr>
        <w:t>12430922068244191B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289D27BB">
      <w:pPr>
        <w:jc w:val="right"/>
        <w:rPr>
          <w:lang w:val="en-US"/>
        </w:rPr>
      </w:pPr>
    </w:p>
    <w:p w14:paraId="5CE560AB">
      <w:pPr>
        <w:jc w:val="right"/>
        <w:rPr>
          <w:lang w:val="en-US"/>
        </w:rPr>
      </w:pPr>
    </w:p>
    <w:p w14:paraId="4920926D">
      <w:pPr>
        <w:jc w:val="right"/>
        <w:rPr>
          <w:lang w:val="en-US"/>
        </w:rPr>
      </w:pPr>
    </w:p>
    <w:p w14:paraId="2784FE71">
      <w:pPr>
        <w:jc w:val="right"/>
        <w:rPr>
          <w:lang w:val="en-US"/>
        </w:rPr>
      </w:pPr>
    </w:p>
    <w:p w14:paraId="62FF4C96">
      <w:pPr>
        <w:jc w:val="right"/>
        <w:rPr>
          <w:lang w:val="en-US"/>
        </w:rPr>
      </w:pPr>
    </w:p>
    <w:p w14:paraId="63CE6B33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15E20B49">
      <w:pPr>
        <w:jc w:val="center"/>
        <w:rPr>
          <w:rFonts w:eastAsia="黑体"/>
          <w:b/>
          <w:bCs/>
          <w:spacing w:val="30"/>
          <w:lang w:val="en-US"/>
        </w:rPr>
      </w:pPr>
    </w:p>
    <w:p w14:paraId="0E56BABD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5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0DB786EC">
      <w:pPr>
        <w:jc w:val="center"/>
        <w:rPr>
          <w:sz w:val="36"/>
          <w:szCs w:val="24"/>
          <w:lang w:val="en-US"/>
        </w:rPr>
      </w:pPr>
    </w:p>
    <w:p w14:paraId="7295B6ED">
      <w:pPr>
        <w:jc w:val="center"/>
        <w:rPr>
          <w:sz w:val="36"/>
          <w:szCs w:val="24"/>
          <w:lang w:val="en-US"/>
        </w:rPr>
      </w:pPr>
    </w:p>
    <w:p w14:paraId="500DF0BF">
      <w:pPr>
        <w:jc w:val="center"/>
        <w:rPr>
          <w:sz w:val="36"/>
          <w:szCs w:val="24"/>
          <w:lang w:val="en-US"/>
        </w:rPr>
      </w:pPr>
    </w:p>
    <w:p w14:paraId="6E6C5BF0">
      <w:pPr>
        <w:jc w:val="center"/>
        <w:rPr>
          <w:sz w:val="36"/>
          <w:szCs w:val="24"/>
          <w:lang w:val="en-US"/>
        </w:rPr>
      </w:pPr>
    </w:p>
    <w:p w14:paraId="4943BD3A">
      <w:pPr>
        <w:jc w:val="center"/>
        <w:rPr>
          <w:sz w:val="36"/>
          <w:szCs w:val="24"/>
          <w:lang w:val="en-US"/>
        </w:rPr>
      </w:pPr>
    </w:p>
    <w:p w14:paraId="06551931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5B6AE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2A7BBCD4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24B31AB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桃江县松木塘镇敬老院</w:t>
            </w:r>
          </w:p>
        </w:tc>
      </w:tr>
    </w:tbl>
    <w:p w14:paraId="6E5D5921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02775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144C07DE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FE78EF6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1E37092A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5EF668AA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605C58A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E268A11">
      <w:pPr>
        <w:jc w:val="center"/>
        <w:rPr>
          <w:u w:val="single"/>
          <w:lang w:val="en-US"/>
        </w:rPr>
      </w:pPr>
    </w:p>
    <w:p w14:paraId="2527B28F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04A9EFA1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5F232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25DD1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11946B8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5992A73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62D1631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54FA9FD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60D12FC4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E39CF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EEA292B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桃江县松木塘镇敬老院</w:t>
            </w:r>
          </w:p>
        </w:tc>
      </w:tr>
      <w:tr w14:paraId="6A773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A1774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93AD0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6543A41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01795F6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为农村五保对象提供养老服务，确保供养对象衣、食、住、医、葬等方面的需求得到保障。以供养五保对象为主，在满足当地农村五保对象（城市“三无”人员）集中供养需要的基础上，可以开展社会养老服务。</w:t>
            </w:r>
          </w:p>
        </w:tc>
      </w:tr>
      <w:tr w14:paraId="47DC3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07662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82AA1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DCB4B0B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桃江县松木塘镇关山口村</w:t>
            </w:r>
          </w:p>
        </w:tc>
      </w:tr>
      <w:tr w14:paraId="0359C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4C308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4D597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C62D46A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文合红</w:t>
            </w:r>
          </w:p>
        </w:tc>
      </w:tr>
      <w:tr w14:paraId="37ED1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74657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68807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6C6DAE6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80</w:t>
            </w: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6413E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153F4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241A5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72D83CE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非财政补助</w:t>
            </w:r>
          </w:p>
        </w:tc>
      </w:tr>
      <w:tr w14:paraId="5F47F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28A6C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17E64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9FC0FD7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桃江县松木塘镇人民政府</w:t>
            </w:r>
          </w:p>
        </w:tc>
      </w:tr>
      <w:tr w14:paraId="08E61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6836F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1094E64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6443006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DAE34F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4D900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9C1EF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414BC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8A9896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4363C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EB4BC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24E04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59.1057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C935F5B">
            <w:pPr>
              <w:jc w:val="center"/>
            </w:pPr>
            <w:r>
              <w:rPr>
                <w:rStyle w:val="16"/>
                <w:sz w:val="32"/>
                <w:szCs w:val="32"/>
                <w:bdr w:val="none" w:color="auto" w:sz="0" w:space="0"/>
                <w:lang w:val="en-US"/>
              </w:rPr>
              <w:t>64.2164</w:t>
            </w:r>
          </w:p>
        </w:tc>
      </w:tr>
      <w:tr w14:paraId="255AD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DB80E8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F4A3B4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桃江县松木塘镇敬老院.公益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2A102A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BAFB0B6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5</w:t>
            </w:r>
          </w:p>
        </w:tc>
      </w:tr>
      <w:tr w14:paraId="5EBAE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29BB8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2D07E68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32B4E95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29B74FA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6C2CC6C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6571FA8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2F4D86D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1189DBC2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29372B7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11CE9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0326AE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5E73E39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188C239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30209C6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25B8985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3853761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2233FD2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642F3C65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0C7D5A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为农村五保对象提供养老服务，确保供养对象衣食住医葬等方面的需求得到保障。以供养五保对象为主，在满足当地农村五保对象（城市“三无”人员）集中供养需要的基础上，可以开展社会养老服务。现有26名服务对象。 </w:t>
            </w:r>
          </w:p>
          <w:p w14:paraId="56B7E59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4F4DF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502459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2C095A4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6189C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DD10FC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63DC0A1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693E6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100F986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3E8EF9E9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3ADC5F5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640324E6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678F26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6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496</Words>
  <Characters>545</Characters>
  <Lines>4</Lines>
  <Paragraphs>1</Paragraphs>
  <TotalTime>45456.4687500016</TotalTime>
  <ScaleCrop>false</ScaleCrop>
  <LinksUpToDate>false</LinksUpToDate>
  <CharactersWithSpaces>581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2024-06-13T03:49:11Z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7AAED039C49A4BA7A6986FF9D9C25033_13</vt:lpwstr>
  </property>
</Properties>
</file>