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AF339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71B9C21">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12430922006490733K</w:t>
      </w:r>
      <w:r>
        <w:rPr>
          <w:rFonts w:eastAsia="楷体_GB2312"/>
          <w:b/>
          <w:bCs/>
          <w:sz w:val="30"/>
          <w:szCs w:val="24"/>
          <w:lang w:val="en-US"/>
        </w:rPr>
        <w:t xml:space="preserve">   </w:t>
      </w:r>
    </w:p>
    <w:p w14:paraId="7D496E14">
      <w:pPr>
        <w:jc w:val="right"/>
        <w:rPr>
          <w:lang w:val="en-US"/>
        </w:rPr>
      </w:pPr>
    </w:p>
    <w:p w14:paraId="17B3A1B0">
      <w:pPr>
        <w:jc w:val="right"/>
        <w:rPr>
          <w:lang w:val="en-US"/>
        </w:rPr>
      </w:pPr>
    </w:p>
    <w:p w14:paraId="57EB7F71">
      <w:pPr>
        <w:jc w:val="right"/>
        <w:rPr>
          <w:lang w:val="en-US"/>
        </w:rPr>
      </w:pPr>
    </w:p>
    <w:p w14:paraId="5E1EE988">
      <w:pPr>
        <w:jc w:val="right"/>
        <w:rPr>
          <w:lang w:val="en-US"/>
        </w:rPr>
      </w:pPr>
    </w:p>
    <w:p w14:paraId="4A64B7B0">
      <w:pPr>
        <w:jc w:val="right"/>
        <w:rPr>
          <w:lang w:val="en-US"/>
        </w:rPr>
      </w:pPr>
    </w:p>
    <w:p w14:paraId="35C1C1E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F24DCA0">
      <w:pPr>
        <w:jc w:val="center"/>
        <w:rPr>
          <w:rFonts w:eastAsia="黑体"/>
          <w:b/>
          <w:bCs/>
          <w:spacing w:val="30"/>
          <w:lang w:val="en-US"/>
        </w:rPr>
      </w:pPr>
    </w:p>
    <w:p w14:paraId="4EC557F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030D245">
      <w:pPr>
        <w:jc w:val="center"/>
        <w:rPr>
          <w:sz w:val="36"/>
          <w:szCs w:val="24"/>
          <w:lang w:val="en-US"/>
        </w:rPr>
      </w:pPr>
    </w:p>
    <w:p w14:paraId="4D2A084B">
      <w:pPr>
        <w:jc w:val="center"/>
        <w:rPr>
          <w:sz w:val="36"/>
          <w:szCs w:val="24"/>
          <w:lang w:val="en-US"/>
        </w:rPr>
      </w:pPr>
    </w:p>
    <w:p w14:paraId="5E5F073A">
      <w:pPr>
        <w:jc w:val="center"/>
        <w:rPr>
          <w:sz w:val="36"/>
          <w:szCs w:val="24"/>
          <w:lang w:val="en-US"/>
        </w:rPr>
      </w:pPr>
    </w:p>
    <w:p w14:paraId="7C042ED9">
      <w:pPr>
        <w:jc w:val="center"/>
        <w:rPr>
          <w:sz w:val="36"/>
          <w:szCs w:val="24"/>
          <w:lang w:val="en-US"/>
        </w:rPr>
      </w:pPr>
    </w:p>
    <w:p w14:paraId="4BF960F5">
      <w:pPr>
        <w:jc w:val="center"/>
        <w:rPr>
          <w:sz w:val="36"/>
          <w:szCs w:val="24"/>
          <w:lang w:val="en-US"/>
        </w:rPr>
      </w:pPr>
    </w:p>
    <w:p w14:paraId="519EAB7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637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0BF46BF">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5763E43">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国家统计局桃江调查队</w:t>
            </w:r>
          </w:p>
        </w:tc>
      </w:tr>
    </w:tbl>
    <w:p w14:paraId="05E2C24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D22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EC91F9C">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E687CFD">
            <w:pPr>
              <w:keepNext w:val="0"/>
              <w:keepLines w:val="0"/>
              <w:widowControl/>
              <w:suppressLineNumbers w:val="0"/>
              <w:jc w:val="left"/>
              <w:rPr>
                <w:kern w:val="0"/>
                <w:sz w:val="20"/>
                <w:szCs w:val="20"/>
                <w:bdr w:val="none" w:color="auto" w:sz="0" w:space="0"/>
                <w:lang w:val="en-US"/>
              </w:rPr>
            </w:pPr>
          </w:p>
        </w:tc>
      </w:tr>
    </w:tbl>
    <w:p w14:paraId="0B343C4F">
      <w:pPr>
        <w:ind w:left="0" w:firstLine="723" w:firstLineChars="300"/>
        <w:rPr>
          <w:rFonts w:hint="eastAsia" w:ascii="黑体" w:hAnsi="宋体" w:eastAsia="黑体" w:cs="黑体"/>
          <w:b/>
          <w:bCs/>
          <w:sz w:val="24"/>
          <w:szCs w:val="24"/>
          <w:u w:val="single"/>
          <w:lang w:val="en-US"/>
        </w:rPr>
      </w:pPr>
    </w:p>
    <w:p w14:paraId="3A30C17D">
      <w:pPr>
        <w:jc w:val="center"/>
        <w:rPr>
          <w:rFonts w:hint="eastAsia" w:ascii="黑体" w:hAnsi="宋体" w:eastAsia="黑体" w:cs="黑体"/>
          <w:b/>
          <w:bCs/>
          <w:sz w:val="30"/>
          <w:szCs w:val="24"/>
          <w:u w:val="single"/>
          <w:lang w:val="en-US"/>
        </w:rPr>
      </w:pPr>
    </w:p>
    <w:p w14:paraId="0AF6B315">
      <w:pPr>
        <w:jc w:val="center"/>
        <w:rPr>
          <w:rFonts w:hint="eastAsia" w:ascii="黑体" w:hAnsi="宋体" w:eastAsia="黑体" w:cs="黑体"/>
          <w:b/>
          <w:bCs/>
          <w:sz w:val="30"/>
          <w:szCs w:val="24"/>
          <w:u w:val="single"/>
          <w:lang w:val="en-US"/>
        </w:rPr>
      </w:pPr>
    </w:p>
    <w:p w14:paraId="7D6540E9">
      <w:pPr>
        <w:jc w:val="center"/>
        <w:rPr>
          <w:u w:val="single"/>
          <w:lang w:val="en-US"/>
        </w:rPr>
      </w:pPr>
    </w:p>
    <w:p w14:paraId="495CF6B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9D818FB">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E2A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F0BEF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72DC3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ACBE8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04446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E2ED9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E4FCE9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820AD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44C53ED">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国家统计局桃江调查队</w:t>
            </w:r>
          </w:p>
        </w:tc>
      </w:tr>
      <w:tr w14:paraId="41F3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8185D9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FAB3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5DCB7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87516B6">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开展农村住户调查、农产量抽样调查、农村农户固定资产调查及其他社会经济调查 为各级党政领导提供调查分析材料和服务</w:t>
            </w:r>
          </w:p>
        </w:tc>
      </w:tr>
      <w:tr w14:paraId="332C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C9D07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1F8C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685627">
            <w:pPr>
              <w:jc w:val="left"/>
            </w:pPr>
            <w:r>
              <w:rPr>
                <w:rStyle w:val="20"/>
                <w:rFonts w:hint="eastAsia" w:ascii="楷体_GB2312" w:eastAsia="楷体_GB2312" w:cs="楷体_GB2312"/>
                <w:sz w:val="28"/>
                <w:szCs w:val="28"/>
                <w:bdr w:val="none" w:color="auto" w:sz="0" w:space="0"/>
                <w:lang w:val="en-US"/>
              </w:rPr>
              <w:t>桃江县桃花江镇县政府大楼九楼</w:t>
            </w:r>
          </w:p>
        </w:tc>
      </w:tr>
      <w:tr w14:paraId="2F22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F68D7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1405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6C1D681">
            <w:pPr>
              <w:jc w:val="left"/>
            </w:pPr>
            <w:r>
              <w:rPr>
                <w:rStyle w:val="20"/>
                <w:rFonts w:hint="eastAsia" w:ascii="楷体_GB2312" w:eastAsia="楷体_GB2312" w:cs="楷体_GB2312"/>
                <w:sz w:val="28"/>
                <w:szCs w:val="28"/>
                <w:bdr w:val="none" w:color="auto" w:sz="0" w:space="0"/>
                <w:lang w:val="en-US"/>
              </w:rPr>
              <w:t>李元林</w:t>
            </w:r>
          </w:p>
        </w:tc>
      </w:tr>
      <w:tr w14:paraId="2072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EACF25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80C1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55052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37.71</w:t>
            </w:r>
            <w:r>
              <w:rPr>
                <w:rStyle w:val="20"/>
                <w:rFonts w:hint="eastAsia" w:ascii="楷体_GB2312" w:eastAsia="楷体_GB2312" w:cs="楷体_GB2312"/>
                <w:sz w:val="28"/>
                <w:szCs w:val="28"/>
                <w:bdr w:val="none" w:color="auto" w:sz="0" w:space="0"/>
              </w:rPr>
              <w:t>（万元）</w:t>
            </w:r>
          </w:p>
        </w:tc>
      </w:tr>
      <w:tr w14:paraId="0E1F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8E02D8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0DC38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39D5BC5">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财政补助（财政补助(全额)）</w:t>
            </w:r>
          </w:p>
        </w:tc>
      </w:tr>
      <w:tr w14:paraId="70D1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7B88C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B18BC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B4EC8BE">
            <w:pPr>
              <w:jc w:val="left"/>
            </w:pPr>
            <w:r>
              <w:rPr>
                <w:rStyle w:val="20"/>
                <w:rFonts w:hint="eastAsia" w:ascii="楷体_GB2312" w:eastAsia="楷体_GB2312" w:cs="楷体_GB2312"/>
                <w:sz w:val="28"/>
                <w:szCs w:val="28"/>
                <w:bdr w:val="none" w:color="auto" w:sz="0" w:space="0"/>
                <w:lang w:val="en-US"/>
              </w:rPr>
              <w:t>国家统计局湖南调查总队</w:t>
            </w:r>
          </w:p>
        </w:tc>
      </w:tr>
      <w:tr w14:paraId="3E07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F1C273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1143CE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3A1793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04616E7">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14E6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20CF9F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CFA0C8">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8EAB560">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2DC0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04D3FD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B2E09EE">
            <w:pPr>
              <w:jc w:val="center"/>
              <w:rPr>
                <w:sz w:val="32"/>
                <w:szCs w:val="24"/>
                <w:bdr w:val="none" w:color="auto" w:sz="0" w:space="0"/>
                <w:lang w:val="en-US"/>
              </w:rPr>
            </w:pPr>
            <w:r>
              <w:rPr>
                <w:rStyle w:val="19"/>
                <w:sz w:val="32"/>
                <w:szCs w:val="24"/>
                <w:bdr w:val="none" w:color="auto" w:sz="0" w:space="0"/>
                <w:lang w:val="en-US"/>
              </w:rPr>
              <w:t>34.53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8EC6B6D">
            <w:pPr>
              <w:jc w:val="center"/>
            </w:pPr>
            <w:r>
              <w:rPr>
                <w:rStyle w:val="20"/>
                <w:sz w:val="32"/>
                <w:szCs w:val="32"/>
                <w:bdr w:val="none" w:color="auto" w:sz="0" w:space="0"/>
                <w:lang w:val="en-US"/>
              </w:rPr>
              <w:t>47.02</w:t>
            </w:r>
          </w:p>
        </w:tc>
      </w:tr>
      <w:tr w14:paraId="0B2A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DE0ECC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CE083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国家统计局桃江调查队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9928A8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E659DDC">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11</w:t>
            </w:r>
          </w:p>
        </w:tc>
      </w:tr>
      <w:tr w14:paraId="79DE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1AF88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C8E93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0AE1D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1A2BA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63F74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0D713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606D5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1F76E6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CB5CDB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已完成</w:t>
            </w:r>
          </w:p>
        </w:tc>
      </w:tr>
      <w:tr w14:paraId="5373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0D43E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52FC9B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4C6D5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2F113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773E1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20A43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A5C43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C4F4ED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FB256E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1、住户工作“两步走”，夯实记账基础工作，筑牢住户调查大样本轮换工作 。一是通过强化住户调查制度建设和责任制落实；积极开展业务培训，加强住户调查工作水平；加强与记账户联系，保障工作高效开展；保障数据质量，加强审核评估等举措夯实记账基础工作。二是积极向领导汇报，得到领导高度重视与支持；加大大力宣传力度，营造样本轮换氛围；加强人员经费保障，顺利完成样本轮换工作。 2、畜禽工作“三加强”，确保畜禽工作质量。2022年，桃江调查队按照湖南调查总队农村处和益阳调查队的要求，较好的完成了全年畜禽监测调查各项工作，取得了真实可靠的畜禽监测调查数据。为了确保畜禽调查质量不受影响，桃江队干部加强与调查户的联系，及时与配合程度不高的养殖户进行沟通疏导。通过重要信息等方式，反映调查户的困难；加强与畜牧水产中心工作交流，提升地方配合程度，确保调查工作高效展开；加强辅调员管理，加强辅调员对于养殖数据采集工作的求真务实意识，要求辅调员对生猪台账中的异常波动，进行认真的核实，能够上报县级业务人员具体情况与原因。 3、劳动力调查“四举措”，就业数据有公信。2022年桃江队劳动力调查工作稳步开展。为切实提高调查数据质量确保源头数据真实、准确、全面推进“劳动力调查数据质量提升年行动”，一是制作了一批宣传海报《劳动力调查宣传通知》，并督促辅助调查员将海报和《国家局公告》，《给调查户的一封信》一起张贴，主动加强劳动力调查工作宣传。二是对辅助调查员已经开展了两次集中培训后还对辅助调查员进行了测试并有相关记录。三是严格落实了点长制，加强了领导陪访工作，队长、业务分管领导都基本每月到点陪访，并做好了陪访记录、陪访照片等痕迹管理。四是要求辅调员对新户核对户口本，做到应填尽填，不漏1人，在被访人不清楚家庭其他成员具体情况时，要求辅助调查员必须问到本人电话并询问本人，保证数据源头准确真实。 4、农产量调查“五把关”，确保调查数据无纰漏。在实际工作中，每个关键点都必须亲力亲为，一是春播、夏播、秋冬播调查时县队干部必须亲力亲为手执PDA到田间地头，进行丘块的录入。二是早、中、晚稻估产时县队干部必须亲力亲为到田间地头进行踏田估产。三是早、中、晚稻实割实测时县队干部必须亲力亲为到田间地头参与实割实测，并协助辅助调查员测准实测重量。在农产量调查中严格把好“五关”。一是样方确定关。我县被抽中的15个村的75个样方严格对号入座。二是丘块作物登记关。对每个调查丘块登记必须达到100%正确。三是样方内地物名称登记关。确保地物名称没有遗漏错误。四是数据采集关。数据采集必须现场调查采集。五是面积核实关。该拆分的就拆分。 </w:t>
            </w:r>
          </w:p>
          <w:p w14:paraId="78B9C32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54C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2582AE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DA05C0A">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王</w:t>
            </w:r>
          </w:p>
        </w:tc>
      </w:tr>
      <w:tr w14:paraId="2EDA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AB2A31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EAB6BF9">
            <w:pPr>
              <w:jc w:val="left"/>
            </w:pPr>
            <w:r>
              <w:rPr>
                <w:rStyle w:val="20"/>
                <w:rFonts w:hint="eastAsia" w:ascii="楷体_GB2312" w:eastAsia="楷体_GB2312" w:cs="楷体_GB2312"/>
                <w:sz w:val="28"/>
                <w:szCs w:val="28"/>
                <w:bdr w:val="none" w:color="auto" w:sz="0" w:space="0"/>
                <w:lang w:val="en-US"/>
              </w:rPr>
              <w:t>绩效结果未出来</w:t>
            </w:r>
          </w:p>
        </w:tc>
      </w:tr>
      <w:tr w14:paraId="4D38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B8100C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C3A73D3">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2D601FC">
            <w:pPr>
              <w:jc w:val="left"/>
            </w:pPr>
            <w:r>
              <w:rPr>
                <w:rStyle w:val="20"/>
                <w:rFonts w:hint="eastAsia" w:ascii="楷体_GB2312" w:eastAsia="楷体_GB2312" w:cs="楷体_GB2312"/>
                <w:sz w:val="28"/>
                <w:szCs w:val="28"/>
                <w:bdr w:val="none" w:color="auto" w:sz="0" w:space="0"/>
                <w:lang w:val="en-US"/>
              </w:rPr>
              <w:t>无</w:t>
            </w:r>
          </w:p>
        </w:tc>
      </w:tr>
    </w:tbl>
    <w:p w14:paraId="0748361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F336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1451</Words>
  <Characters>1512</Characters>
  <Lines>4</Lines>
  <Paragraphs>1</Paragraphs>
  <TotalTime>45456.4062500016</TotalTime>
  <ScaleCrop>false</ScaleCrop>
  <LinksUpToDate>false</LinksUpToDate>
  <CharactersWithSpaces>1553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2024-06-13T02:13:16Z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0DE74755C0444C37A6F330121453BADF_13</vt:lpwstr>
  </property>
</Properties>
</file>