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eastAsia="黑体"/>
          <w:bCs/>
          <w:kern w:val="0"/>
          <w:szCs w:val="32"/>
        </w:rPr>
      </w:pPr>
      <w:r>
        <w:rPr>
          <w:rFonts w:eastAsia="黑体"/>
          <w:bCs/>
          <w:kern w:val="0"/>
          <w:szCs w:val="32"/>
        </w:rPr>
        <w:t>附件1</w:t>
      </w:r>
    </w:p>
    <w:p>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pPr>
        <w:spacing w:line="594" w:lineRule="exact"/>
        <w:jc w:val="left"/>
        <w:rPr>
          <w:rFonts w:eastAsia="宋体"/>
          <w:kern w:val="0"/>
          <w:sz w:val="24"/>
        </w:rPr>
      </w:pPr>
      <w:r>
        <w:rPr>
          <w:rFonts w:eastAsia="宋体"/>
          <w:kern w:val="0"/>
          <w:sz w:val="24"/>
        </w:rPr>
        <w:t>单位名称（盖章）：</w:t>
      </w:r>
      <w:r>
        <w:rPr>
          <w:rFonts w:hint="eastAsia" w:eastAsia="宋体"/>
          <w:kern w:val="0"/>
          <w:sz w:val="24"/>
          <w:lang w:val="en-US" w:eastAsia="zh-CN"/>
        </w:rPr>
        <w:t xml:space="preserve">桃江县科学技术和工业信息化局     </w:t>
      </w:r>
      <w:r>
        <w:rPr>
          <w:rFonts w:eastAsia="宋体"/>
          <w:kern w:val="0"/>
          <w:sz w:val="24"/>
        </w:rPr>
        <w:t>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5</w:t>
      </w:r>
      <w:r>
        <w:rPr>
          <w:rFonts w:eastAsia="宋体"/>
          <w:kern w:val="0"/>
          <w:sz w:val="24"/>
        </w:rPr>
        <w:t>月</w:t>
      </w:r>
      <w:r>
        <w:rPr>
          <w:rFonts w:hint="eastAsia" w:eastAsia="宋体"/>
          <w:kern w:val="0"/>
          <w:sz w:val="24"/>
          <w:lang w:val="en-US" w:eastAsia="zh-CN"/>
        </w:rPr>
        <w:t>4</w:t>
      </w:r>
      <w:r>
        <w:rPr>
          <w:rFonts w:eastAsia="宋体"/>
          <w:kern w:val="0"/>
          <w:sz w:val="24"/>
        </w:rPr>
        <w:t>日</w:t>
      </w:r>
      <w:r>
        <w:rPr>
          <w:rFonts w:hint="eastAsia" w:eastAsia="宋体"/>
          <w:kern w:val="0"/>
          <w:sz w:val="24"/>
          <w:lang w:val="en-US" w:eastAsia="zh-CN"/>
        </w:rPr>
        <w:t xml:space="preserve">     </w:t>
      </w:r>
      <w:r>
        <w:rPr>
          <w:rFonts w:eastAsia="宋体"/>
          <w:kern w:val="0"/>
          <w:sz w:val="24"/>
        </w:rPr>
        <w:t>金额单位：万元（保留两位小数）</w:t>
      </w:r>
    </w:p>
    <w:tbl>
      <w:tblPr>
        <w:tblStyle w:val="7"/>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530"/>
        <w:gridCol w:w="530"/>
        <w:gridCol w:w="530"/>
        <w:gridCol w:w="530"/>
        <w:gridCol w:w="530"/>
        <w:gridCol w:w="530"/>
        <w:gridCol w:w="601"/>
        <w:gridCol w:w="459"/>
        <w:gridCol w:w="530"/>
        <w:gridCol w:w="531"/>
        <w:gridCol w:w="531"/>
        <w:gridCol w:w="531"/>
        <w:gridCol w:w="531"/>
        <w:gridCol w:w="531"/>
        <w:gridCol w:w="531"/>
        <w:gridCol w:w="531"/>
        <w:gridCol w:w="531"/>
        <w:gridCol w:w="531"/>
        <w:gridCol w:w="847"/>
        <w:gridCol w:w="531"/>
        <w:gridCol w:w="531"/>
        <w:gridCol w:w="531"/>
        <w:gridCol w:w="531"/>
        <w:gridCol w:w="531"/>
        <w:gridCol w:w="531"/>
        <w:gridCol w:w="531"/>
        <w:gridCol w:w="531"/>
        <w:gridCol w:w="531"/>
        <w:gridCol w:w="531"/>
      </w:tblGrid>
      <w:tr>
        <w:tblPrEx>
          <w:tblCellMar>
            <w:top w:w="0" w:type="dxa"/>
            <w:left w:w="108" w:type="dxa"/>
            <w:bottom w:w="0" w:type="dxa"/>
            <w:right w:w="108" w:type="dxa"/>
          </w:tblCellMar>
        </w:tblPrEx>
        <w:trPr>
          <w:trHeight w:val="48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pPr>
              <w:spacing w:line="360" w:lineRule="exact"/>
              <w:rPr>
                <w:rFonts w:eastAsia="黑体"/>
                <w:bCs/>
                <w:kern w:val="0"/>
                <w:sz w:val="24"/>
              </w:rPr>
            </w:pPr>
            <w:r>
              <w:rPr>
                <w:rFonts w:hint="eastAsia" w:eastAsia="黑体"/>
                <w:bCs/>
                <w:kern w:val="0"/>
                <w:sz w:val="24"/>
              </w:rPr>
              <w:t>年初预算</w:t>
            </w:r>
          </w:p>
        </w:tc>
        <w:tc>
          <w:tcPr>
            <w:tcW w:w="1590" w:type="dxa"/>
            <w:gridSpan w:val="3"/>
            <w:vMerge w:val="restart"/>
            <w:tcBorders>
              <w:top w:val="single" w:color="auto" w:sz="12" w:space="0"/>
              <w:left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hint="eastAsia" w:eastAsia="黑体"/>
                <w:bCs/>
                <w:kern w:val="0"/>
                <w:sz w:val="24"/>
              </w:rPr>
              <w:t>预算追加</w:t>
            </w:r>
          </w:p>
        </w:tc>
        <w:tc>
          <w:tcPr>
            <w:tcW w:w="2652" w:type="dxa"/>
            <w:gridSpan w:val="5"/>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收入来源</w:t>
            </w:r>
          </w:p>
        </w:tc>
        <w:tc>
          <w:tcPr>
            <w:tcW w:w="8281" w:type="dxa"/>
            <w:gridSpan w:val="15"/>
            <w:tcBorders>
              <w:top w:val="single" w:color="auto" w:sz="12" w:space="0"/>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结转结余</w:t>
            </w:r>
          </w:p>
        </w:tc>
      </w:tr>
      <w:tr>
        <w:tblPrEx>
          <w:tblCellMar>
            <w:top w:w="0" w:type="dxa"/>
            <w:left w:w="108" w:type="dxa"/>
            <w:bottom w:w="0" w:type="dxa"/>
            <w:right w:w="108" w:type="dxa"/>
          </w:tblCellMar>
        </w:tblPrEx>
        <w:trPr>
          <w:trHeight w:val="457"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pPr>
              <w:spacing w:line="360" w:lineRule="exact"/>
              <w:jc w:val="left"/>
              <w:rPr>
                <w:rFonts w:eastAsia="黑体"/>
                <w:bCs/>
                <w:kern w:val="0"/>
                <w:sz w:val="24"/>
              </w:rPr>
            </w:pPr>
          </w:p>
        </w:tc>
        <w:tc>
          <w:tcPr>
            <w:tcW w:w="1590" w:type="dxa"/>
            <w:gridSpan w:val="3"/>
            <w:vMerge w:val="continue"/>
            <w:tcBorders>
              <w:left w:val="single" w:color="auto" w:sz="4" w:space="0"/>
              <w:bottom w:val="single" w:color="auto" w:sz="4" w:space="0"/>
              <w:right w:val="single" w:color="auto" w:sz="4" w:space="0"/>
            </w:tcBorders>
            <w:noWrap w:val="0"/>
            <w:vAlign w:val="center"/>
          </w:tcPr>
          <w:p>
            <w:pPr>
              <w:spacing w:line="360" w:lineRule="exact"/>
              <w:jc w:val="left"/>
              <w:rPr>
                <w:rFonts w:eastAsia="黑体"/>
                <w:bCs/>
                <w:kern w:val="0"/>
                <w:sz w:val="24"/>
              </w:rPr>
            </w:pPr>
          </w:p>
        </w:tc>
        <w:tc>
          <w:tcPr>
            <w:tcW w:w="2652"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黑体"/>
                <w:bCs/>
                <w:kern w:val="0"/>
                <w:sz w:val="24"/>
              </w:rPr>
            </w:pPr>
          </w:p>
        </w:tc>
        <w:tc>
          <w:tcPr>
            <w:tcW w:w="3717"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基本支出</w:t>
            </w:r>
          </w:p>
        </w:tc>
        <w:tc>
          <w:tcPr>
            <w:tcW w:w="4564" w:type="dxa"/>
            <w:gridSpan w:val="8"/>
            <w:tcBorders>
              <w:top w:val="single" w:color="auto" w:sz="4" w:space="0"/>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pPr>
              <w:spacing w:line="360" w:lineRule="exact"/>
              <w:jc w:val="left"/>
              <w:rPr>
                <w:rFonts w:eastAsia="黑体"/>
                <w:bCs/>
                <w:kern w:val="0"/>
                <w:sz w:val="24"/>
              </w:rPr>
            </w:pPr>
          </w:p>
        </w:tc>
      </w:tr>
      <w:tr>
        <w:tblPrEx>
          <w:tblCellMar>
            <w:top w:w="0" w:type="dxa"/>
            <w:left w:w="108" w:type="dxa"/>
            <w:bottom w:w="0" w:type="dxa"/>
            <w:right w:w="108" w:type="dxa"/>
          </w:tblCellMar>
        </w:tblPrEx>
        <w:trPr>
          <w:trHeight w:val="2886" w:hRule="atLeast"/>
        </w:trPr>
        <w:tc>
          <w:tcPr>
            <w:tcW w:w="530" w:type="dxa"/>
            <w:tcBorders>
              <w:top w:val="nil"/>
              <w:left w:val="single" w:color="auto" w:sz="12" w:space="0"/>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小</w:t>
            </w:r>
          </w:p>
          <w:p>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项</w:t>
            </w:r>
          </w:p>
          <w:p>
            <w:pPr>
              <w:spacing w:line="360" w:lineRule="exact"/>
              <w:jc w:val="center"/>
              <w:rPr>
                <w:rFonts w:eastAsia="黑体"/>
                <w:bCs/>
                <w:kern w:val="0"/>
                <w:sz w:val="24"/>
              </w:rPr>
            </w:pPr>
            <w:r>
              <w:rPr>
                <w:rFonts w:eastAsia="黑体"/>
                <w:bCs/>
                <w:kern w:val="0"/>
                <w:sz w:val="24"/>
              </w:rPr>
              <w:t>目</w:t>
            </w:r>
          </w:p>
          <w:p>
            <w:pPr>
              <w:spacing w:line="360" w:lineRule="exact"/>
              <w:jc w:val="center"/>
              <w:rPr>
                <w:rFonts w:eastAsia="黑体"/>
                <w:bCs/>
                <w:kern w:val="0"/>
                <w:sz w:val="24"/>
              </w:rPr>
            </w:pPr>
            <w:r>
              <w:rPr>
                <w:rFonts w:eastAsia="黑体"/>
                <w:bCs/>
                <w:kern w:val="0"/>
                <w:sz w:val="24"/>
              </w:rPr>
              <w:t>支</w:t>
            </w:r>
          </w:p>
          <w:p>
            <w:pPr>
              <w:spacing w:line="360" w:lineRule="exact"/>
              <w:jc w:val="center"/>
              <w:rPr>
                <w:rFonts w:eastAsia="黑体"/>
                <w:bCs/>
                <w:kern w:val="0"/>
                <w:sz w:val="24"/>
              </w:rPr>
            </w:pPr>
            <w:r>
              <w:rPr>
                <w:rFonts w:eastAsia="黑体"/>
                <w:bCs/>
                <w:kern w:val="0"/>
                <w:sz w:val="24"/>
              </w:rPr>
              <w:t>出</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hint="eastAsia" w:eastAsia="黑体"/>
                <w:bCs/>
                <w:kern w:val="0"/>
                <w:sz w:val="24"/>
              </w:rPr>
              <w:t>小计</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hint="eastAsia"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hint="eastAsia" w:eastAsia="黑体"/>
                <w:bCs/>
                <w:kern w:val="0"/>
                <w:sz w:val="24"/>
              </w:rPr>
              <w:t>项目支出</w:t>
            </w:r>
          </w:p>
        </w:tc>
        <w:tc>
          <w:tcPr>
            <w:tcW w:w="60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小</w:t>
            </w:r>
          </w:p>
          <w:p>
            <w:pPr>
              <w:spacing w:line="360" w:lineRule="exact"/>
              <w:jc w:val="center"/>
              <w:rPr>
                <w:rFonts w:eastAsia="黑体"/>
                <w:bCs/>
                <w:kern w:val="0"/>
                <w:sz w:val="24"/>
              </w:rPr>
            </w:pPr>
            <w:r>
              <w:rPr>
                <w:rFonts w:eastAsia="黑体"/>
                <w:bCs/>
                <w:kern w:val="0"/>
                <w:sz w:val="24"/>
              </w:rPr>
              <w:t>计</w:t>
            </w:r>
          </w:p>
        </w:tc>
        <w:tc>
          <w:tcPr>
            <w:tcW w:w="459"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上年结</w:t>
            </w:r>
          </w:p>
          <w:p>
            <w:pPr>
              <w:spacing w:line="360" w:lineRule="exact"/>
              <w:jc w:val="center"/>
              <w:rPr>
                <w:rFonts w:eastAsia="黑体"/>
                <w:bCs/>
                <w:kern w:val="0"/>
                <w:sz w:val="24"/>
              </w:rPr>
            </w:pPr>
            <w:r>
              <w:rPr>
                <w:rFonts w:eastAsia="黑体"/>
                <w:bCs/>
                <w:kern w:val="0"/>
                <w:sz w:val="24"/>
              </w:rPr>
              <w:t>转结</w:t>
            </w:r>
          </w:p>
          <w:p>
            <w:pPr>
              <w:spacing w:line="360" w:lineRule="exact"/>
              <w:jc w:val="center"/>
              <w:rPr>
                <w:rFonts w:eastAsia="黑体"/>
                <w:bCs/>
                <w:kern w:val="0"/>
                <w:sz w:val="24"/>
              </w:rPr>
            </w:pPr>
            <w:r>
              <w:rPr>
                <w:rFonts w:eastAsia="黑体"/>
                <w:bCs/>
                <w:kern w:val="0"/>
                <w:sz w:val="24"/>
              </w:rPr>
              <w:t>余</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上级财政</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县级财政</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其</w:t>
            </w:r>
          </w:p>
          <w:p>
            <w:pPr>
              <w:spacing w:line="360" w:lineRule="exact"/>
              <w:jc w:val="center"/>
              <w:rPr>
                <w:rFonts w:eastAsia="黑体"/>
                <w:bCs/>
                <w:kern w:val="0"/>
                <w:sz w:val="24"/>
              </w:rPr>
            </w:pPr>
            <w:r>
              <w:rPr>
                <w:rFonts w:eastAsia="黑体"/>
                <w:bCs/>
                <w:kern w:val="0"/>
                <w:sz w:val="24"/>
              </w:rPr>
              <w:t>他</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小</w:t>
            </w:r>
          </w:p>
          <w:p>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hint="eastAsia" w:eastAsia="黑体"/>
                <w:bCs/>
                <w:kern w:val="0"/>
                <w:sz w:val="24"/>
              </w:rPr>
              <w:t>债务利息及费用</w:t>
            </w:r>
            <w:bookmarkStart w:id="0" w:name="_GoBack"/>
            <w:bookmarkEnd w:id="0"/>
            <w:r>
              <w:rPr>
                <w:rFonts w:hint="eastAsia" w:eastAsia="黑体"/>
                <w:bCs/>
                <w:kern w:val="0"/>
                <w:sz w:val="24"/>
              </w:rPr>
              <w:t>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其</w:t>
            </w:r>
          </w:p>
          <w:p>
            <w:pPr>
              <w:spacing w:line="360" w:lineRule="exact"/>
              <w:jc w:val="center"/>
              <w:rPr>
                <w:rFonts w:eastAsia="黑体"/>
                <w:bCs/>
                <w:kern w:val="0"/>
                <w:sz w:val="24"/>
              </w:rPr>
            </w:pPr>
            <w:r>
              <w:rPr>
                <w:rFonts w:eastAsia="黑体"/>
                <w:bCs/>
                <w:kern w:val="0"/>
                <w:sz w:val="24"/>
              </w:rPr>
              <w:t>他支出</w:t>
            </w:r>
          </w:p>
        </w:tc>
        <w:tc>
          <w:tcPr>
            <w:tcW w:w="847"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项目</w:t>
            </w:r>
          </w:p>
          <w:p>
            <w:pPr>
              <w:spacing w:line="360" w:lineRule="exact"/>
              <w:jc w:val="center"/>
              <w:rPr>
                <w:rFonts w:eastAsia="黑体"/>
                <w:bCs/>
                <w:kern w:val="0"/>
                <w:sz w:val="24"/>
              </w:rPr>
            </w:pPr>
            <w:r>
              <w:rPr>
                <w:rFonts w:eastAsia="黑体"/>
                <w:bCs/>
                <w:kern w:val="0"/>
                <w:sz w:val="24"/>
              </w:rPr>
              <w:t>名称</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小</w:t>
            </w:r>
          </w:p>
          <w:p>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其</w:t>
            </w:r>
          </w:p>
          <w:p>
            <w:pPr>
              <w:spacing w:line="360" w:lineRule="exact"/>
              <w:jc w:val="center"/>
              <w:rPr>
                <w:rFonts w:eastAsia="黑体"/>
                <w:bCs/>
                <w:kern w:val="0"/>
                <w:sz w:val="24"/>
              </w:rPr>
            </w:pPr>
            <w:r>
              <w:rPr>
                <w:rFonts w:eastAsia="黑体"/>
                <w:bCs/>
                <w:kern w:val="0"/>
                <w:sz w:val="24"/>
              </w:rPr>
              <w:t>他支出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kern w:val="0"/>
                <w:sz w:val="24"/>
              </w:rPr>
            </w:pPr>
            <w:r>
              <w:rPr>
                <w:rFonts w:eastAsia="黑体"/>
                <w:bCs/>
                <w:kern w:val="0"/>
                <w:sz w:val="24"/>
              </w:rPr>
              <w:t>小</w:t>
            </w:r>
          </w:p>
          <w:p>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kern w:val="0"/>
                <w:sz w:val="24"/>
              </w:rPr>
            </w:pPr>
            <w:r>
              <w:rPr>
                <w:rFonts w:eastAsia="黑体"/>
                <w:bCs/>
                <w:kern w:val="0"/>
                <w:sz w:val="24"/>
              </w:rPr>
              <w:t>基本支出</w:t>
            </w:r>
          </w:p>
        </w:tc>
        <w:tc>
          <w:tcPr>
            <w:tcW w:w="531" w:type="dxa"/>
            <w:tcBorders>
              <w:top w:val="nil"/>
              <w:left w:val="nil"/>
              <w:bottom w:val="single" w:color="auto" w:sz="4" w:space="0"/>
              <w:right w:val="single" w:color="auto" w:sz="12" w:space="0"/>
            </w:tcBorders>
            <w:noWrap w:val="0"/>
            <w:vAlign w:val="center"/>
          </w:tcPr>
          <w:p>
            <w:pPr>
              <w:spacing w:line="360" w:lineRule="exact"/>
              <w:jc w:val="center"/>
              <w:rPr>
                <w:rFonts w:eastAsia="黑体"/>
                <w:bCs/>
                <w:kern w:val="0"/>
                <w:sz w:val="24"/>
              </w:rPr>
            </w:pPr>
            <w:r>
              <w:rPr>
                <w:rFonts w:eastAsia="黑体"/>
                <w:bCs/>
                <w:kern w:val="0"/>
                <w:sz w:val="24"/>
              </w:rPr>
              <w:t>项目支出</w:t>
            </w:r>
          </w:p>
        </w:tc>
      </w:tr>
      <w:tr>
        <w:tblPrEx>
          <w:tblCellMar>
            <w:top w:w="0" w:type="dxa"/>
            <w:left w:w="108" w:type="dxa"/>
            <w:bottom w:w="0" w:type="dxa"/>
            <w:right w:w="108" w:type="dxa"/>
          </w:tblCellMar>
        </w:tblPrEx>
        <w:trPr>
          <w:trHeight w:val="457" w:hRule="atLeast"/>
        </w:trPr>
        <w:tc>
          <w:tcPr>
            <w:tcW w:w="530" w:type="dxa"/>
            <w:tcBorders>
              <w:top w:val="nil"/>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566.61</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526.61</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40</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629.68</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169.78</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459.9</w:t>
            </w:r>
          </w:p>
        </w:tc>
        <w:tc>
          <w:tcPr>
            <w:tcW w:w="60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1196.29</w:t>
            </w:r>
          </w:p>
        </w:tc>
        <w:tc>
          <w:tcPr>
            <w:tcW w:w="459"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22.46</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297.65</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876.18</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696.39</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473.45</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92.56</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130.38</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47"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科学技术</w:t>
            </w:r>
          </w:p>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499.9</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179.42</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200.65</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119.83</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531" w:type="dxa"/>
            <w:tcBorders>
              <w:top w:val="nil"/>
              <w:left w:val="nil"/>
              <w:bottom w:val="single" w:color="auto" w:sz="4" w:space="0"/>
              <w:right w:val="single" w:color="auto" w:sz="12" w:space="0"/>
            </w:tcBorders>
            <w:noWrap w:val="0"/>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r>
      <w:tr>
        <w:tblPrEx>
          <w:tblCellMar>
            <w:top w:w="0" w:type="dxa"/>
            <w:left w:w="108" w:type="dxa"/>
            <w:bottom w:w="0" w:type="dxa"/>
            <w:right w:w="108" w:type="dxa"/>
          </w:tblCellMar>
        </w:tblPrEx>
        <w:trPr>
          <w:trHeight w:val="322" w:hRule="atLeast"/>
        </w:trPr>
        <w:tc>
          <w:tcPr>
            <w:tcW w:w="530" w:type="dxa"/>
            <w:tcBorders>
              <w:top w:val="nil"/>
              <w:left w:val="single" w:color="auto" w:sz="12" w:space="0"/>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60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459"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847"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12" w:space="0"/>
            </w:tcBorders>
            <w:noWrap w:val="0"/>
            <w:vAlign w:val="center"/>
          </w:tcPr>
          <w:p>
            <w:pPr>
              <w:spacing w:line="360" w:lineRule="exact"/>
              <w:jc w:val="left"/>
              <w:rPr>
                <w:rFonts w:eastAsia="宋体"/>
                <w:kern w:val="0"/>
                <w:sz w:val="24"/>
              </w:rPr>
            </w:pPr>
            <w:r>
              <w:rPr>
                <w:rFonts w:eastAsia="宋体"/>
                <w:kern w:val="0"/>
                <w:sz w:val="24"/>
              </w:rPr>
              <w:t>　</w:t>
            </w:r>
          </w:p>
        </w:tc>
      </w:tr>
      <w:tr>
        <w:tblPrEx>
          <w:tblCellMar>
            <w:top w:w="0" w:type="dxa"/>
            <w:left w:w="108" w:type="dxa"/>
            <w:bottom w:w="0" w:type="dxa"/>
            <w:right w:w="108" w:type="dxa"/>
          </w:tblCellMar>
        </w:tblPrEx>
        <w:trPr>
          <w:trHeight w:val="382" w:hRule="atLeast"/>
        </w:trPr>
        <w:tc>
          <w:tcPr>
            <w:tcW w:w="530" w:type="dxa"/>
            <w:tcBorders>
              <w:top w:val="nil"/>
              <w:left w:val="single" w:color="auto" w:sz="12" w:space="0"/>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60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459"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847"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12" w:space="0"/>
            </w:tcBorders>
            <w:noWrap w:val="0"/>
            <w:vAlign w:val="center"/>
          </w:tcPr>
          <w:p>
            <w:pPr>
              <w:spacing w:line="360" w:lineRule="exact"/>
              <w:jc w:val="left"/>
              <w:rPr>
                <w:rFonts w:eastAsia="宋体"/>
                <w:kern w:val="0"/>
                <w:sz w:val="24"/>
              </w:rPr>
            </w:pPr>
            <w:r>
              <w:rPr>
                <w:rFonts w:eastAsia="宋体"/>
                <w:kern w:val="0"/>
                <w:sz w:val="24"/>
              </w:rPr>
              <w:t>　</w:t>
            </w:r>
          </w:p>
        </w:tc>
      </w:tr>
      <w:tr>
        <w:tblPrEx>
          <w:tblCellMar>
            <w:top w:w="0" w:type="dxa"/>
            <w:left w:w="108" w:type="dxa"/>
            <w:bottom w:w="0" w:type="dxa"/>
            <w:right w:w="108" w:type="dxa"/>
          </w:tblCellMar>
        </w:tblPrEx>
        <w:trPr>
          <w:trHeight w:val="315"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60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459"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847"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12" w:space="0"/>
            </w:tcBorders>
            <w:noWrap w:val="0"/>
            <w:vAlign w:val="center"/>
          </w:tcPr>
          <w:p>
            <w:pPr>
              <w:spacing w:line="360" w:lineRule="exact"/>
              <w:jc w:val="left"/>
              <w:rPr>
                <w:rFonts w:eastAsia="宋体"/>
                <w:kern w:val="0"/>
                <w:sz w:val="24"/>
              </w:rPr>
            </w:pPr>
          </w:p>
        </w:tc>
      </w:tr>
    </w:tbl>
    <w:p>
      <w:pPr>
        <w:jc w:val="left"/>
        <w:rPr>
          <w:rFonts w:eastAsia="宋体"/>
          <w:bCs/>
          <w:kern w:val="0"/>
          <w:sz w:val="24"/>
        </w:rPr>
      </w:pPr>
      <w:r>
        <w:rPr>
          <w:rFonts w:eastAsia="宋体"/>
          <w:bCs/>
          <w:kern w:val="0"/>
          <w:sz w:val="24"/>
        </w:rPr>
        <w:t>注：单位有多个项目的，请按项目分别填列。</w:t>
      </w:r>
    </w:p>
    <w:p>
      <w:pPr>
        <w:jc w:val="left"/>
        <w:rPr>
          <w:rFonts w:hint="eastAsia" w:eastAsia="宋体"/>
          <w:bCs/>
          <w:kern w:val="0"/>
          <w:sz w:val="24"/>
          <w:lang w:val="en-US" w:eastAsia="zh-CN"/>
        </w:rPr>
      </w:pPr>
      <w:r>
        <w:rPr>
          <w:rFonts w:eastAsia="宋体"/>
          <w:bCs/>
          <w:kern w:val="0"/>
          <w:sz w:val="24"/>
        </w:rPr>
        <w:t>填报人：</w:t>
      </w:r>
      <w:r>
        <w:rPr>
          <w:rFonts w:hint="eastAsia" w:eastAsia="宋体"/>
          <w:bCs/>
          <w:kern w:val="0"/>
          <w:sz w:val="24"/>
          <w:lang w:val="en-US" w:eastAsia="zh-CN"/>
        </w:rPr>
        <w:t xml:space="preserve">高风君                                           </w:t>
      </w:r>
      <w:r>
        <w:rPr>
          <w:rFonts w:eastAsia="宋体"/>
          <w:bCs/>
          <w:kern w:val="0"/>
          <w:sz w:val="24"/>
        </w:rPr>
        <w:t>单位负责人（签字）：</w:t>
      </w:r>
      <w:r>
        <w:rPr>
          <w:rFonts w:hint="eastAsia" w:eastAsia="宋体"/>
          <w:bCs/>
          <w:kern w:val="0"/>
          <w:sz w:val="24"/>
          <w:lang w:val="en-US" w:eastAsia="zh-CN"/>
        </w:rPr>
        <w:t>郭龙辉</w:t>
      </w:r>
    </w:p>
    <w:p>
      <w:pPr>
        <w:jc w:val="left"/>
        <w:rPr>
          <w:rFonts w:eastAsia="黑体"/>
          <w:bCs/>
          <w:kern w:val="0"/>
          <w:szCs w:val="32"/>
        </w:rPr>
      </w:pPr>
      <w:r>
        <w:rPr>
          <w:rFonts w:eastAsia="黑体"/>
          <w:bCs/>
          <w:kern w:val="0"/>
          <w:szCs w:val="32"/>
        </w:rPr>
        <w:t>附件2</w:t>
      </w:r>
    </w:p>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pPr>
        <w:jc w:val="left"/>
        <w:rPr>
          <w:rFonts w:eastAsia="宋体"/>
          <w:kern w:val="0"/>
          <w:sz w:val="24"/>
        </w:rPr>
      </w:pPr>
      <w:r>
        <w:rPr>
          <w:rFonts w:eastAsia="宋体"/>
          <w:kern w:val="0"/>
          <w:sz w:val="24"/>
        </w:rPr>
        <w:t>评价单位（盖章）：</w:t>
      </w:r>
      <w:r>
        <w:rPr>
          <w:rFonts w:hint="eastAsia" w:eastAsia="宋体"/>
          <w:kern w:val="0"/>
          <w:sz w:val="24"/>
          <w:lang w:val="en-US" w:eastAsia="zh-CN"/>
        </w:rPr>
        <w:t xml:space="preserve">桃江县科学技术和工业信息化局                                   </w:t>
      </w:r>
      <w:r>
        <w:rPr>
          <w:rFonts w:eastAsia="宋体"/>
          <w:kern w:val="0"/>
          <w:sz w:val="24"/>
        </w:rPr>
        <w:t>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5</w:t>
      </w:r>
      <w:r>
        <w:rPr>
          <w:rFonts w:eastAsia="宋体"/>
          <w:kern w:val="0"/>
          <w:sz w:val="24"/>
        </w:rPr>
        <w:t>月</w:t>
      </w:r>
      <w:r>
        <w:rPr>
          <w:rFonts w:hint="eastAsia" w:eastAsia="宋体"/>
          <w:kern w:val="0"/>
          <w:sz w:val="24"/>
          <w:lang w:val="en-US" w:eastAsia="zh-CN"/>
        </w:rPr>
        <w:t>4</w:t>
      </w:r>
      <w:r>
        <w:rPr>
          <w:rFonts w:eastAsia="宋体"/>
          <w:kern w:val="0"/>
          <w:sz w:val="24"/>
        </w:rPr>
        <w:t>日</w:t>
      </w:r>
    </w:p>
    <w:tbl>
      <w:tblPr>
        <w:tblStyle w:val="7"/>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pPr>
              <w:spacing w:line="300" w:lineRule="exact"/>
              <w:jc w:val="center"/>
              <w:rPr>
                <w:rFonts w:hint="eastAsia" w:eastAsia="黑体"/>
                <w:bCs/>
                <w:kern w:val="0"/>
                <w:sz w:val="24"/>
              </w:rPr>
            </w:pPr>
            <w:r>
              <w:rPr>
                <w:rFonts w:eastAsia="黑体"/>
                <w:bCs/>
                <w:kern w:val="0"/>
                <w:sz w:val="24"/>
              </w:rPr>
              <w:t>一级</w:t>
            </w:r>
          </w:p>
          <w:p>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pPr>
              <w:spacing w:line="300" w:lineRule="exact"/>
              <w:jc w:val="center"/>
              <w:rPr>
                <w:rFonts w:eastAsia="黑体"/>
                <w:bCs/>
                <w:kern w:val="0"/>
                <w:sz w:val="24"/>
              </w:rPr>
            </w:pPr>
            <w:r>
              <w:rPr>
                <w:rFonts w:eastAsia="黑体"/>
                <w:bCs/>
                <w:kern w:val="0"/>
                <w:sz w:val="24"/>
              </w:rPr>
              <w:t>二级</w:t>
            </w:r>
          </w:p>
          <w:p>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pPr>
              <w:spacing w:line="300" w:lineRule="exact"/>
              <w:jc w:val="center"/>
              <w:rPr>
                <w:rFonts w:eastAsia="黑体"/>
                <w:bCs/>
                <w:kern w:val="0"/>
                <w:sz w:val="24"/>
              </w:rPr>
            </w:pPr>
            <w:r>
              <w:rPr>
                <w:rFonts w:eastAsia="黑体"/>
                <w:bCs/>
                <w:kern w:val="0"/>
                <w:sz w:val="24"/>
              </w:rPr>
              <w:t>三级</w:t>
            </w:r>
          </w:p>
          <w:p>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pPr>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00" w:lineRule="exact"/>
              <w:jc w:val="center"/>
              <w:rPr>
                <w:rFonts w:hint="eastAsia" w:eastAsia="宋体"/>
                <w:kern w:val="0"/>
                <w:sz w:val="24"/>
              </w:rPr>
            </w:pPr>
          </w:p>
          <w:p>
            <w:pPr>
              <w:spacing w:line="300" w:lineRule="exact"/>
              <w:jc w:val="center"/>
              <w:rPr>
                <w:rFonts w:hint="eastAsia" w:eastAsia="宋体"/>
                <w:kern w:val="0"/>
                <w:sz w:val="24"/>
              </w:rPr>
            </w:pPr>
            <w:r>
              <w:rPr>
                <w:rFonts w:eastAsia="宋体"/>
                <w:kern w:val="0"/>
                <w:sz w:val="24"/>
              </w:rPr>
              <w:t>投入</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pPr>
              <w:spacing w:line="300" w:lineRule="exact"/>
              <w:jc w:val="center"/>
              <w:rPr>
                <w:rFonts w:hint="eastAsia" w:eastAsia="宋体"/>
                <w:kern w:val="0"/>
                <w:sz w:val="24"/>
                <w:lang w:eastAsia="zh-CN"/>
              </w:rPr>
            </w:pPr>
            <w:r>
              <w:rPr>
                <w:rFonts w:eastAsia="宋体"/>
                <w:kern w:val="0"/>
                <w:sz w:val="24"/>
              </w:rPr>
              <w:t>设定</w:t>
            </w:r>
          </w:p>
          <w:p>
            <w:pPr>
              <w:spacing w:line="300" w:lineRule="exact"/>
              <w:jc w:val="center"/>
              <w:rPr>
                <w:rFonts w:eastAsia="宋体"/>
                <w:kern w:val="0"/>
                <w:sz w:val="24"/>
              </w:rPr>
            </w:pPr>
            <w:r>
              <w:rPr>
                <w:rFonts w:eastAsia="宋体"/>
                <w:kern w:val="0"/>
                <w:sz w:val="24"/>
              </w:rPr>
              <w:t>目标</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pPr>
              <w:spacing w:line="310" w:lineRule="exact"/>
              <w:jc w:val="center"/>
              <w:rPr>
                <w:rFonts w:eastAsia="宋体"/>
                <w:kern w:val="0"/>
                <w:sz w:val="24"/>
              </w:rPr>
            </w:pPr>
            <w:r>
              <w:rPr>
                <w:rFonts w:eastAsia="宋体"/>
                <w:kern w:val="0"/>
                <w:sz w:val="24"/>
              </w:rPr>
              <w:t>绩效目标合理性</w:t>
            </w:r>
          </w:p>
          <w:p>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pPr>
              <w:spacing w:line="310" w:lineRule="exact"/>
              <w:jc w:val="center"/>
              <w:rPr>
                <w:rFonts w:eastAsia="宋体"/>
                <w:kern w:val="0"/>
                <w:sz w:val="24"/>
              </w:rPr>
            </w:pPr>
          </w:p>
        </w:tc>
        <w:tc>
          <w:tcPr>
            <w:tcW w:w="4341" w:type="dxa"/>
            <w:vMerge w:val="restart"/>
            <w:noWrap w:val="0"/>
            <w:vAlign w:val="center"/>
          </w:tcPr>
          <w:p>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restart"/>
            <w:noWrap w:val="0"/>
            <w:vAlign w:val="center"/>
          </w:tcPr>
          <w:p>
            <w:pPr>
              <w:spacing w:line="310" w:lineRule="exact"/>
              <w:jc w:val="left"/>
              <w:rPr>
                <w:rFonts w:hint="eastAsia" w:eastAsia="宋体"/>
                <w:kern w:val="0"/>
                <w:sz w:val="24"/>
              </w:rPr>
            </w:pPr>
            <w:r>
              <w:rPr>
                <w:rFonts w:eastAsia="宋体"/>
                <w:kern w:val="0"/>
                <w:sz w:val="24"/>
              </w:rPr>
              <w:t>绩效指标明确性</w:t>
            </w:r>
          </w:p>
          <w:p>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restart"/>
            <w:noWrap w:val="0"/>
            <w:vAlign w:val="center"/>
          </w:tcPr>
          <w:p>
            <w:pPr>
              <w:spacing w:line="300" w:lineRule="exact"/>
              <w:jc w:val="center"/>
              <w:rPr>
                <w:rFonts w:eastAsia="宋体"/>
                <w:kern w:val="0"/>
                <w:sz w:val="24"/>
              </w:rPr>
            </w:pPr>
            <w:r>
              <w:rPr>
                <w:rFonts w:eastAsia="宋体"/>
                <w:kern w:val="0"/>
                <w:sz w:val="24"/>
              </w:rPr>
              <w:t>预算</w:t>
            </w:r>
          </w:p>
          <w:p>
            <w:pPr>
              <w:spacing w:line="300" w:lineRule="exact"/>
              <w:jc w:val="center"/>
              <w:rPr>
                <w:rFonts w:eastAsia="宋体"/>
                <w:kern w:val="0"/>
                <w:sz w:val="24"/>
              </w:rPr>
            </w:pPr>
            <w:r>
              <w:rPr>
                <w:rFonts w:eastAsia="宋体"/>
                <w:kern w:val="0"/>
                <w:sz w:val="24"/>
              </w:rPr>
              <w:t>配置</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pPr>
              <w:spacing w:line="310" w:lineRule="exact"/>
              <w:jc w:val="center"/>
              <w:rPr>
                <w:rFonts w:hint="eastAsia" w:eastAsia="宋体"/>
                <w:kern w:val="0"/>
                <w:sz w:val="24"/>
              </w:rPr>
            </w:pPr>
            <w:r>
              <w:rPr>
                <w:rFonts w:eastAsia="宋体"/>
                <w:kern w:val="0"/>
                <w:sz w:val="24"/>
              </w:rPr>
              <w:t>在职人员控制率</w:t>
            </w:r>
          </w:p>
          <w:p>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10" w:lineRule="exact"/>
              <w:ind w:left="240" w:hanging="240" w:hangingChars="100"/>
              <w:jc w:val="left"/>
              <w:rPr>
                <w:rFonts w:eastAsia="宋体"/>
                <w:kern w:val="0"/>
                <w:sz w:val="24"/>
              </w:rPr>
            </w:pPr>
            <w:r>
              <w:rPr>
                <w:rFonts w:eastAsia="宋体"/>
                <w:kern w:val="0"/>
                <w:sz w:val="24"/>
              </w:rPr>
              <w:t>“三公经费”变动率</w:t>
            </w:r>
          </w:p>
          <w:p>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10" w:lineRule="exact"/>
              <w:jc w:val="center"/>
              <w:rPr>
                <w:rFonts w:hint="eastAsia" w:eastAsia="宋体"/>
                <w:kern w:val="0"/>
                <w:sz w:val="24"/>
              </w:rPr>
            </w:pPr>
            <w:r>
              <w:rPr>
                <w:rFonts w:eastAsia="宋体"/>
                <w:kern w:val="0"/>
                <w:sz w:val="24"/>
              </w:rPr>
              <w:t>重点支出安排率</w:t>
            </w:r>
          </w:p>
          <w:p>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00" w:lineRule="exact"/>
              <w:jc w:val="center"/>
              <w:rPr>
                <w:rFonts w:eastAsia="宋体"/>
                <w:kern w:val="0"/>
                <w:sz w:val="24"/>
              </w:rPr>
            </w:pPr>
            <w:r>
              <w:rPr>
                <w:rFonts w:eastAsia="宋体"/>
                <w:kern w:val="0"/>
                <w:sz w:val="24"/>
              </w:rPr>
              <w:t>过程</w:t>
            </w:r>
          </w:p>
          <w:p>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pPr>
              <w:spacing w:line="300" w:lineRule="exact"/>
              <w:jc w:val="center"/>
              <w:rPr>
                <w:rFonts w:eastAsia="宋体"/>
                <w:kern w:val="0"/>
                <w:sz w:val="24"/>
              </w:rPr>
            </w:pPr>
          </w:p>
        </w:tc>
        <w:tc>
          <w:tcPr>
            <w:tcW w:w="1065" w:type="dxa"/>
            <w:vMerge w:val="restart"/>
            <w:noWrap w:val="0"/>
            <w:vAlign w:val="center"/>
          </w:tcPr>
          <w:p>
            <w:pPr>
              <w:spacing w:line="300" w:lineRule="exact"/>
              <w:jc w:val="center"/>
              <w:rPr>
                <w:rFonts w:hint="eastAsia"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执行</w:t>
            </w:r>
          </w:p>
          <w:p>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pPr>
              <w:spacing w:line="300" w:lineRule="exact"/>
              <w:jc w:val="center"/>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完成率</w:t>
            </w:r>
          </w:p>
          <w:p>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调整率</w:t>
            </w:r>
          </w:p>
          <w:p>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pPr>
              <w:spacing w:line="300" w:lineRule="exact"/>
              <w:jc w:val="center"/>
              <w:rPr>
                <w:rFonts w:hint="default" w:ascii="Times New Roman" w:hAnsi="Times New Roman" w:eastAsia="宋体" w:cs="Times New Roman"/>
                <w:kern w:val="0"/>
                <w:sz w:val="24"/>
                <w:szCs w:val="24"/>
                <w:lang w:val="en-US" w:eastAsia="zh-CN" w:bidi="ar-SA"/>
              </w:rPr>
            </w:pPr>
            <w:r>
              <w:rPr>
                <w:rFonts w:hint="eastAsia" w:eastAsia="宋体" w:cs="Times New Roman"/>
                <w:kern w:val="0"/>
                <w:sz w:val="24"/>
                <w:szCs w:val="24"/>
                <w:lang w:val="en-US" w:eastAsia="zh-CN" w:bidi="ar-SA"/>
              </w:rPr>
              <w:t>2</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支付</w:t>
            </w:r>
          </w:p>
          <w:p>
            <w:pPr>
              <w:spacing w:line="300" w:lineRule="exact"/>
              <w:jc w:val="center"/>
              <w:rPr>
                <w:rFonts w:hint="eastAsia" w:eastAsia="宋体"/>
                <w:kern w:val="0"/>
                <w:sz w:val="24"/>
              </w:rPr>
            </w:pPr>
            <w:r>
              <w:rPr>
                <w:rFonts w:eastAsia="宋体"/>
                <w:kern w:val="0"/>
                <w:sz w:val="24"/>
              </w:rPr>
              <w:t>进度率</w:t>
            </w:r>
          </w:p>
          <w:p>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center"/>
              <w:rPr>
                <w:rFonts w:eastAsia="宋体"/>
                <w:kern w:val="0"/>
                <w:sz w:val="24"/>
              </w:rPr>
            </w:pPr>
          </w:p>
        </w:tc>
        <w:tc>
          <w:tcPr>
            <w:tcW w:w="1065" w:type="dxa"/>
            <w:vMerge w:val="continue"/>
            <w:noWrap w:val="0"/>
            <w:vAlign w:val="center"/>
          </w:tcPr>
          <w:p>
            <w:pPr>
              <w:spacing w:line="300" w:lineRule="exact"/>
              <w:jc w:val="center"/>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结转</w:t>
            </w:r>
          </w:p>
          <w:p>
            <w:pPr>
              <w:spacing w:line="300" w:lineRule="exact"/>
              <w:jc w:val="center"/>
              <w:rPr>
                <w:rFonts w:hint="eastAsia" w:eastAsia="宋体"/>
                <w:kern w:val="0"/>
                <w:sz w:val="24"/>
              </w:rPr>
            </w:pPr>
            <w:r>
              <w:rPr>
                <w:rFonts w:eastAsia="宋体"/>
                <w:kern w:val="0"/>
                <w:sz w:val="24"/>
              </w:rPr>
              <w:t>结余率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eastAsia="宋体"/>
                <w:kern w:val="0"/>
                <w:sz w:val="24"/>
              </w:rPr>
            </w:pPr>
            <w:r>
              <w:rPr>
                <w:rFonts w:eastAsia="宋体"/>
                <w:kern w:val="0"/>
                <w:sz w:val="24"/>
              </w:rPr>
              <w:t>公用经费控制率（</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三公经费控制率</w:t>
            </w:r>
          </w:p>
          <w:p>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政府采购执行率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eastAsia="宋体"/>
                <w:kern w:val="0"/>
                <w:sz w:val="24"/>
              </w:rPr>
            </w:pPr>
            <w:r>
              <w:rPr>
                <w:rFonts w:eastAsia="宋体"/>
                <w:kern w:val="0"/>
                <w:sz w:val="24"/>
              </w:rPr>
              <w:t>投资评审执行率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pPr>
              <w:spacing w:line="300" w:lineRule="exact"/>
              <w:jc w:val="center"/>
              <w:rPr>
                <w:rFonts w:eastAsia="宋体"/>
                <w:kern w:val="0"/>
                <w:sz w:val="24"/>
              </w:rPr>
            </w:pPr>
          </w:p>
          <w:p>
            <w:pPr>
              <w:spacing w:line="300" w:lineRule="exact"/>
              <w:jc w:val="center"/>
              <w:rPr>
                <w:rFonts w:eastAsia="宋体"/>
                <w:kern w:val="0"/>
                <w:sz w:val="24"/>
              </w:rPr>
            </w:pPr>
            <w:r>
              <w:rPr>
                <w:rFonts w:eastAsia="宋体"/>
                <w:kern w:val="0"/>
                <w:sz w:val="24"/>
              </w:rPr>
              <w:t>过程</w:t>
            </w:r>
          </w:p>
          <w:p>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pPr>
              <w:spacing w:line="300" w:lineRule="exact"/>
              <w:jc w:val="center"/>
              <w:rPr>
                <w:rFonts w:eastAsia="宋体"/>
                <w:kern w:val="0"/>
                <w:sz w:val="24"/>
              </w:rPr>
            </w:pPr>
          </w:p>
        </w:tc>
        <w:tc>
          <w:tcPr>
            <w:tcW w:w="1065" w:type="dxa"/>
            <w:vMerge w:val="restart"/>
            <w:noWrap w:val="0"/>
            <w:vAlign w:val="center"/>
          </w:tcPr>
          <w:p>
            <w:pPr>
              <w:spacing w:line="300" w:lineRule="exact"/>
              <w:jc w:val="center"/>
              <w:rPr>
                <w:rFonts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管理</w:t>
            </w:r>
          </w:p>
          <w:p>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pPr>
              <w:spacing w:line="300" w:lineRule="exact"/>
              <w:jc w:val="center"/>
              <w:rPr>
                <w:rFonts w:hint="eastAsia" w:eastAsia="宋体"/>
                <w:kern w:val="0"/>
                <w:sz w:val="24"/>
              </w:rPr>
            </w:pPr>
            <w:r>
              <w:rPr>
                <w:rFonts w:eastAsia="宋体"/>
                <w:kern w:val="0"/>
                <w:sz w:val="24"/>
              </w:rPr>
              <w:t>制度管理</w:t>
            </w:r>
          </w:p>
          <w:p>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restart"/>
            <w:noWrap w:val="0"/>
            <w:vAlign w:val="center"/>
          </w:tcPr>
          <w:p>
            <w:pPr>
              <w:spacing w:line="300" w:lineRule="exact"/>
              <w:jc w:val="center"/>
              <w:rPr>
                <w:rFonts w:hint="eastAsia" w:eastAsia="宋体"/>
                <w:kern w:val="0"/>
                <w:sz w:val="24"/>
              </w:rPr>
            </w:pPr>
            <w:r>
              <w:rPr>
                <w:rFonts w:eastAsia="宋体"/>
                <w:kern w:val="0"/>
                <w:sz w:val="24"/>
              </w:rPr>
              <w:t>资金管理</w:t>
            </w:r>
          </w:p>
          <w:p>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center"/>
              <w:rPr>
                <w:rFonts w:eastAsia="宋体"/>
                <w:kern w:val="0"/>
                <w:sz w:val="24"/>
              </w:rPr>
            </w:pPr>
          </w:p>
        </w:tc>
        <w:tc>
          <w:tcPr>
            <w:tcW w:w="1065" w:type="dxa"/>
            <w:vMerge w:val="continue"/>
            <w:noWrap w:val="0"/>
            <w:vAlign w:val="center"/>
          </w:tcPr>
          <w:p>
            <w:pPr>
              <w:spacing w:line="300" w:lineRule="exact"/>
              <w:jc w:val="center"/>
              <w:rPr>
                <w:rFonts w:eastAsia="宋体"/>
                <w:color w:val="FF0000"/>
                <w:kern w:val="0"/>
                <w:sz w:val="24"/>
              </w:rPr>
            </w:pPr>
          </w:p>
        </w:tc>
        <w:tc>
          <w:tcPr>
            <w:tcW w:w="1410" w:type="dxa"/>
            <w:vMerge w:val="restart"/>
            <w:noWrap w:val="0"/>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restart"/>
            <w:noWrap w:val="0"/>
            <w:vAlign w:val="center"/>
          </w:tcPr>
          <w:p>
            <w:pPr>
              <w:spacing w:line="300" w:lineRule="exact"/>
              <w:jc w:val="center"/>
              <w:rPr>
                <w:rFonts w:hint="eastAsia" w:eastAsia="宋体"/>
                <w:kern w:val="0"/>
                <w:sz w:val="24"/>
              </w:rPr>
            </w:pPr>
            <w:r>
              <w:rPr>
                <w:rFonts w:eastAsia="宋体"/>
                <w:kern w:val="0"/>
                <w:sz w:val="24"/>
              </w:rPr>
              <w:t>信息公开</w:t>
            </w:r>
          </w:p>
          <w:p>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pPr>
              <w:spacing w:line="300" w:lineRule="exact"/>
              <w:jc w:val="center"/>
              <w:rPr>
                <w:rFonts w:hint="eastAsia" w:eastAsia="宋体"/>
                <w:kern w:val="0"/>
                <w:sz w:val="24"/>
              </w:rPr>
            </w:pPr>
          </w:p>
          <w:p>
            <w:pPr>
              <w:spacing w:line="300" w:lineRule="exact"/>
              <w:jc w:val="center"/>
              <w:rPr>
                <w:rFonts w:hint="eastAsia" w:eastAsia="宋体"/>
                <w:kern w:val="0"/>
                <w:sz w:val="24"/>
              </w:rPr>
            </w:pPr>
            <w:r>
              <w:rPr>
                <w:rFonts w:eastAsia="宋体"/>
                <w:kern w:val="0"/>
                <w:sz w:val="24"/>
              </w:rPr>
              <w:t>过程</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pPr>
              <w:spacing w:line="360" w:lineRule="exact"/>
              <w:jc w:val="center"/>
              <w:rPr>
                <w:rFonts w:eastAsia="宋体"/>
                <w:kern w:val="0"/>
                <w:sz w:val="24"/>
              </w:rPr>
            </w:pPr>
          </w:p>
        </w:tc>
        <w:tc>
          <w:tcPr>
            <w:tcW w:w="1065" w:type="dxa"/>
            <w:vMerge w:val="restart"/>
            <w:noWrap w:val="0"/>
            <w:vAlign w:val="center"/>
          </w:tcPr>
          <w:p>
            <w:pPr>
              <w:spacing w:line="360" w:lineRule="exact"/>
              <w:jc w:val="center"/>
              <w:rPr>
                <w:rFonts w:hint="eastAsia" w:eastAsia="宋体"/>
                <w:kern w:val="0"/>
                <w:sz w:val="24"/>
              </w:rPr>
            </w:pPr>
            <w:r>
              <w:rPr>
                <w:rFonts w:eastAsia="宋体"/>
                <w:kern w:val="0"/>
                <w:sz w:val="24"/>
              </w:rPr>
              <w:t>资产</w:t>
            </w:r>
          </w:p>
          <w:p>
            <w:pPr>
              <w:spacing w:line="360" w:lineRule="exact"/>
              <w:jc w:val="center"/>
              <w:rPr>
                <w:rFonts w:hint="eastAsia" w:eastAsia="宋体"/>
                <w:kern w:val="0"/>
                <w:sz w:val="24"/>
              </w:rPr>
            </w:pPr>
            <w:r>
              <w:rPr>
                <w:rFonts w:eastAsia="宋体"/>
                <w:kern w:val="0"/>
                <w:sz w:val="24"/>
              </w:rPr>
              <w:t>管理</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pPr>
              <w:spacing w:line="370" w:lineRule="exact"/>
              <w:rPr>
                <w:rFonts w:eastAsia="宋体"/>
                <w:kern w:val="0"/>
                <w:sz w:val="24"/>
              </w:rPr>
            </w:pPr>
            <w:r>
              <w:rPr>
                <w:rFonts w:eastAsia="宋体"/>
                <w:sz w:val="24"/>
              </w:rPr>
              <w:t>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pPr>
              <w:spacing w:line="360" w:lineRule="exact"/>
              <w:jc w:val="center"/>
              <w:rPr>
                <w:rFonts w:eastAsia="宋体"/>
                <w:kern w:val="0"/>
                <w:sz w:val="24"/>
              </w:rPr>
            </w:pPr>
          </w:p>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360" w:lineRule="exact"/>
              <w:jc w:val="center"/>
              <w:rPr>
                <w:rFonts w:eastAsia="宋体"/>
                <w:kern w:val="0"/>
                <w:sz w:val="24"/>
              </w:rPr>
            </w:pPr>
          </w:p>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60" w:lineRule="exact"/>
              <w:jc w:val="left"/>
              <w:rPr>
                <w:rFonts w:eastAsia="宋体"/>
                <w:kern w:val="0"/>
                <w:sz w:val="24"/>
              </w:rPr>
            </w:pPr>
            <w:r>
              <w:rPr>
                <w:rFonts w:eastAsia="宋体"/>
                <w:kern w:val="0"/>
                <w:sz w:val="24"/>
              </w:rPr>
              <w:t>　</w:t>
            </w:r>
          </w:p>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vMerge w:val="restart"/>
            <w:noWrap w:val="0"/>
            <w:vAlign w:val="center"/>
          </w:tcPr>
          <w:p>
            <w:pPr>
              <w:spacing w:line="400" w:lineRule="exact"/>
              <w:jc w:val="center"/>
              <w:rPr>
                <w:rFonts w:hint="eastAsia" w:eastAsia="宋体"/>
                <w:kern w:val="0"/>
                <w:sz w:val="24"/>
              </w:rPr>
            </w:pPr>
            <w:r>
              <w:rPr>
                <w:rFonts w:eastAsia="宋体"/>
                <w:kern w:val="0"/>
                <w:sz w:val="24"/>
              </w:rPr>
              <w:t>资产管理安全性</w:t>
            </w:r>
          </w:p>
          <w:p>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pPr>
              <w:spacing w:line="360" w:lineRule="exact"/>
              <w:jc w:val="center"/>
              <w:rPr>
                <w:rFonts w:eastAsia="宋体"/>
                <w:kern w:val="0"/>
                <w:sz w:val="24"/>
              </w:rPr>
            </w:pPr>
            <w:r>
              <w:rPr>
                <w:rFonts w:hint="eastAsia" w:eastAsia="宋体"/>
                <w:kern w:val="0"/>
                <w:sz w:val="24"/>
              </w:rPr>
              <w:t>1</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pPr>
              <w:spacing w:line="400" w:lineRule="exact"/>
              <w:rPr>
                <w:rFonts w:eastAsia="宋体"/>
                <w:sz w:val="24"/>
              </w:rPr>
            </w:pPr>
          </w:p>
        </w:tc>
        <w:tc>
          <w:tcPr>
            <w:tcW w:w="1065" w:type="dxa"/>
            <w:vMerge w:val="continue"/>
            <w:noWrap w:val="0"/>
            <w:vAlign w:val="center"/>
          </w:tcPr>
          <w:p>
            <w:pPr>
              <w:spacing w:line="400" w:lineRule="exact"/>
              <w:rPr>
                <w:rFonts w:eastAsia="宋体"/>
                <w:sz w:val="24"/>
              </w:rPr>
            </w:pPr>
          </w:p>
        </w:tc>
        <w:tc>
          <w:tcPr>
            <w:tcW w:w="1410" w:type="dxa"/>
            <w:vMerge w:val="continue"/>
            <w:noWrap w:val="0"/>
            <w:vAlign w:val="center"/>
          </w:tcPr>
          <w:p>
            <w:pPr>
              <w:spacing w:line="400" w:lineRule="exact"/>
              <w:jc w:val="left"/>
              <w:rPr>
                <w:rFonts w:eastAsia="宋体"/>
                <w:sz w:val="24"/>
              </w:rPr>
            </w:pPr>
          </w:p>
        </w:tc>
        <w:tc>
          <w:tcPr>
            <w:tcW w:w="4341" w:type="dxa"/>
            <w:vMerge w:val="continue"/>
            <w:noWrap w:val="0"/>
            <w:vAlign w:val="center"/>
          </w:tcPr>
          <w:p>
            <w:pPr>
              <w:spacing w:line="400" w:lineRule="exact"/>
              <w:jc w:val="left"/>
              <w:rPr>
                <w:rFonts w:eastAsia="宋体"/>
                <w:sz w:val="24"/>
              </w:rPr>
            </w:pPr>
          </w:p>
        </w:tc>
        <w:tc>
          <w:tcPr>
            <w:tcW w:w="5899" w:type="dxa"/>
            <w:noWrap w:val="0"/>
            <w:vAlign w:val="center"/>
          </w:tcPr>
          <w:p>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pPr>
              <w:spacing w:line="400" w:lineRule="exact"/>
              <w:rPr>
                <w:rFonts w:eastAsia="宋体"/>
                <w:sz w:val="24"/>
              </w:rPr>
            </w:pPr>
          </w:p>
        </w:tc>
        <w:tc>
          <w:tcPr>
            <w:tcW w:w="1065" w:type="dxa"/>
            <w:vMerge w:val="continue"/>
            <w:noWrap w:val="0"/>
            <w:vAlign w:val="center"/>
          </w:tcPr>
          <w:p>
            <w:pPr>
              <w:spacing w:line="400" w:lineRule="exact"/>
              <w:rPr>
                <w:rFonts w:eastAsia="宋体"/>
                <w:sz w:val="24"/>
              </w:rPr>
            </w:pPr>
          </w:p>
        </w:tc>
        <w:tc>
          <w:tcPr>
            <w:tcW w:w="1410" w:type="dxa"/>
            <w:vMerge w:val="continue"/>
            <w:noWrap w:val="0"/>
            <w:vAlign w:val="center"/>
          </w:tcPr>
          <w:p>
            <w:pPr>
              <w:spacing w:line="400" w:lineRule="exact"/>
              <w:jc w:val="left"/>
              <w:rPr>
                <w:rFonts w:eastAsia="宋体"/>
                <w:sz w:val="24"/>
              </w:rPr>
            </w:pPr>
          </w:p>
        </w:tc>
        <w:tc>
          <w:tcPr>
            <w:tcW w:w="4341" w:type="dxa"/>
            <w:vMerge w:val="continue"/>
            <w:noWrap w:val="0"/>
            <w:vAlign w:val="center"/>
          </w:tcPr>
          <w:p>
            <w:pPr>
              <w:spacing w:line="400" w:lineRule="exact"/>
              <w:jc w:val="left"/>
              <w:rPr>
                <w:rFonts w:eastAsia="宋体"/>
                <w:sz w:val="24"/>
              </w:rPr>
            </w:pPr>
          </w:p>
        </w:tc>
        <w:tc>
          <w:tcPr>
            <w:tcW w:w="5899" w:type="dxa"/>
            <w:noWrap w:val="0"/>
            <w:vAlign w:val="center"/>
          </w:tcPr>
          <w:p>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15"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固定资产利用率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spacing w:line="360" w:lineRule="exact"/>
              <w:jc w:val="center"/>
              <w:rPr>
                <w:rFonts w:eastAsia="宋体"/>
                <w:kern w:val="0"/>
                <w:sz w:val="24"/>
              </w:rPr>
            </w:pPr>
            <w:r>
              <w:rPr>
                <w:rFonts w:eastAsia="宋体"/>
                <w:kern w:val="0"/>
                <w:sz w:val="24"/>
              </w:rPr>
              <w:t>职责</w:t>
            </w:r>
          </w:p>
          <w:p>
            <w:pPr>
              <w:spacing w:line="360" w:lineRule="exact"/>
              <w:jc w:val="center"/>
              <w:rPr>
                <w:rFonts w:eastAsia="宋体"/>
                <w:kern w:val="0"/>
                <w:sz w:val="24"/>
              </w:rPr>
            </w:pPr>
            <w:r>
              <w:rPr>
                <w:rFonts w:eastAsia="宋体"/>
                <w:kern w:val="0"/>
                <w:sz w:val="24"/>
              </w:rPr>
              <w:t>履行</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spacing w:line="300" w:lineRule="exact"/>
              <w:jc w:val="center"/>
              <w:rPr>
                <w:rFonts w:hint="eastAsia" w:eastAsia="宋体"/>
                <w:kern w:val="0"/>
                <w:sz w:val="24"/>
              </w:rPr>
            </w:pPr>
            <w:r>
              <w:rPr>
                <w:rFonts w:eastAsia="宋体"/>
                <w:kern w:val="0"/>
                <w:sz w:val="24"/>
              </w:rPr>
              <w:t>实际</w:t>
            </w:r>
          </w:p>
          <w:p>
            <w:pPr>
              <w:spacing w:line="300" w:lineRule="exact"/>
              <w:jc w:val="center"/>
              <w:rPr>
                <w:rFonts w:hint="eastAsia" w:eastAsia="宋体"/>
                <w:kern w:val="0"/>
                <w:sz w:val="24"/>
              </w:rPr>
            </w:pPr>
            <w:r>
              <w:rPr>
                <w:rFonts w:eastAsia="宋体"/>
                <w:kern w:val="0"/>
                <w:sz w:val="24"/>
              </w:rPr>
              <w:t>完成率</w:t>
            </w:r>
          </w:p>
          <w:p>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完成</w:t>
            </w:r>
          </w:p>
          <w:p>
            <w:pPr>
              <w:spacing w:line="300" w:lineRule="exact"/>
              <w:jc w:val="center"/>
              <w:rPr>
                <w:rFonts w:hint="eastAsia" w:eastAsia="宋体"/>
                <w:kern w:val="0"/>
                <w:sz w:val="24"/>
              </w:rPr>
            </w:pPr>
            <w:r>
              <w:rPr>
                <w:rFonts w:eastAsia="宋体"/>
                <w:kern w:val="0"/>
                <w:sz w:val="24"/>
              </w:rPr>
              <w:t>及时率</w:t>
            </w:r>
          </w:p>
          <w:p>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00" w:lineRule="exact"/>
              <w:jc w:val="center"/>
              <w:rPr>
                <w:rFonts w:eastAsia="宋体"/>
                <w:kern w:val="0"/>
                <w:sz w:val="24"/>
              </w:rPr>
            </w:pPr>
            <w:r>
              <w:rPr>
                <w:rFonts w:eastAsia="宋体"/>
                <w:kern w:val="0"/>
                <w:sz w:val="24"/>
              </w:rPr>
              <w:t>质量</w:t>
            </w:r>
          </w:p>
          <w:p>
            <w:pPr>
              <w:spacing w:line="300" w:lineRule="exact"/>
              <w:jc w:val="center"/>
              <w:rPr>
                <w:rFonts w:hint="eastAsia" w:eastAsia="宋体"/>
                <w:kern w:val="0"/>
                <w:sz w:val="24"/>
                <w:lang w:eastAsia="zh-CN"/>
              </w:rPr>
            </w:pPr>
            <w:r>
              <w:rPr>
                <w:rFonts w:eastAsia="宋体"/>
                <w:kern w:val="0"/>
                <w:sz w:val="24"/>
              </w:rPr>
              <w:t>达标率</w:t>
            </w:r>
          </w:p>
          <w:p>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pPr>
              <w:spacing w:line="360" w:lineRule="exact"/>
              <w:jc w:val="center"/>
              <w:rPr>
                <w:rFonts w:eastAsia="宋体"/>
                <w:kern w:val="0"/>
                <w:sz w:val="24"/>
              </w:rPr>
            </w:pPr>
            <w:r>
              <w:rPr>
                <w:rFonts w:eastAsia="宋体"/>
                <w:kern w:val="0"/>
                <w:sz w:val="24"/>
              </w:rPr>
              <w:t>职责</w:t>
            </w:r>
          </w:p>
          <w:p>
            <w:pPr>
              <w:spacing w:line="360" w:lineRule="exact"/>
              <w:jc w:val="center"/>
              <w:rPr>
                <w:rFonts w:eastAsia="宋体"/>
                <w:kern w:val="0"/>
                <w:sz w:val="24"/>
              </w:rPr>
            </w:pPr>
            <w:r>
              <w:rPr>
                <w:rFonts w:eastAsia="宋体"/>
                <w:kern w:val="0"/>
                <w:sz w:val="24"/>
              </w:rPr>
              <w:t>履行</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spacing w:line="360" w:lineRule="exact"/>
              <w:jc w:val="center"/>
              <w:rPr>
                <w:rFonts w:hint="eastAsia" w:eastAsia="宋体"/>
                <w:kern w:val="0"/>
                <w:sz w:val="24"/>
              </w:rPr>
            </w:pPr>
            <w:r>
              <w:rPr>
                <w:rFonts w:eastAsia="宋体"/>
                <w:kern w:val="0"/>
                <w:sz w:val="24"/>
              </w:rPr>
              <w:t>重点工作办结率</w:t>
            </w:r>
          </w:p>
          <w:p>
            <w:pPr>
              <w:spacing w:line="360" w:lineRule="exact"/>
              <w:jc w:val="center"/>
              <w:rPr>
                <w:rFonts w:eastAsia="宋体"/>
                <w:kern w:val="0"/>
                <w:sz w:val="24"/>
              </w:rPr>
            </w:pPr>
            <w:r>
              <w:rPr>
                <w:rFonts w:eastAsia="宋体"/>
                <w:kern w:val="0"/>
                <w:sz w:val="24"/>
              </w:rPr>
              <w:t>（5分）</w:t>
            </w:r>
          </w:p>
        </w:tc>
        <w:tc>
          <w:tcPr>
            <w:tcW w:w="4341" w:type="dxa"/>
            <w:noWrap w:val="0"/>
            <w:vAlign w:val="center"/>
          </w:tcPr>
          <w:p>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pPr>
              <w:spacing w:line="360" w:lineRule="exact"/>
              <w:jc w:val="center"/>
              <w:rPr>
                <w:rFonts w:hint="eastAsia" w:eastAsia="宋体"/>
                <w:kern w:val="0"/>
                <w:sz w:val="24"/>
              </w:rPr>
            </w:pPr>
            <w:r>
              <w:rPr>
                <w:rFonts w:eastAsia="宋体"/>
                <w:kern w:val="0"/>
                <w:sz w:val="24"/>
              </w:rPr>
              <w:t>效果</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spacing w:line="360" w:lineRule="exact"/>
              <w:jc w:val="center"/>
              <w:rPr>
                <w:rFonts w:hint="eastAsia" w:eastAsia="宋体"/>
                <w:kern w:val="0"/>
                <w:sz w:val="24"/>
              </w:rPr>
            </w:pPr>
            <w:r>
              <w:rPr>
                <w:rFonts w:eastAsia="宋体"/>
                <w:kern w:val="0"/>
                <w:sz w:val="24"/>
              </w:rPr>
              <w:t>履职</w:t>
            </w:r>
          </w:p>
          <w:p>
            <w:pPr>
              <w:spacing w:line="360" w:lineRule="exact"/>
              <w:jc w:val="center"/>
              <w:rPr>
                <w:rFonts w:hint="eastAsia" w:eastAsia="宋体"/>
                <w:kern w:val="0"/>
                <w:sz w:val="24"/>
              </w:rPr>
            </w:pPr>
            <w:r>
              <w:rPr>
                <w:rFonts w:eastAsia="宋体"/>
                <w:kern w:val="0"/>
                <w:sz w:val="24"/>
              </w:rPr>
              <w:t>效益</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spacing w:line="360" w:lineRule="exact"/>
              <w:jc w:val="center"/>
              <w:rPr>
                <w:rFonts w:hint="eastAsia" w:eastAsia="宋体"/>
                <w:kern w:val="0"/>
                <w:sz w:val="24"/>
              </w:rPr>
            </w:pPr>
            <w:r>
              <w:rPr>
                <w:rFonts w:eastAsia="宋体"/>
                <w:kern w:val="0"/>
                <w:sz w:val="24"/>
              </w:rPr>
              <w:t>经济效益</w:t>
            </w:r>
          </w:p>
          <w:p>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，分值可根据部门职能作相应调整</w:t>
            </w:r>
            <w:r>
              <w:rPr>
                <w:rFonts w:eastAsia="宋体"/>
                <w:kern w:val="0"/>
                <w:sz w:val="24"/>
              </w:rPr>
              <w:t>。</w:t>
            </w: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60" w:lineRule="exact"/>
              <w:jc w:val="center"/>
              <w:rPr>
                <w:rFonts w:eastAsia="宋体"/>
                <w:kern w:val="0"/>
                <w:sz w:val="24"/>
              </w:rPr>
            </w:pPr>
            <w:r>
              <w:rPr>
                <w:rFonts w:eastAsia="宋体"/>
                <w:kern w:val="0"/>
                <w:sz w:val="24"/>
              </w:rPr>
              <w:t>社会效益（</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pPr>
              <w:spacing w:line="360" w:lineRule="exact"/>
              <w:jc w:val="left"/>
              <w:rPr>
                <w:rFonts w:eastAsia="宋体"/>
                <w:kern w:val="0"/>
                <w:sz w:val="24"/>
              </w:rPr>
            </w:pP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60" w:lineRule="exact"/>
              <w:jc w:val="center"/>
              <w:rPr>
                <w:rFonts w:hint="eastAsia" w:eastAsia="宋体"/>
                <w:kern w:val="0"/>
                <w:sz w:val="24"/>
              </w:rPr>
            </w:pPr>
            <w:r>
              <w:rPr>
                <w:rFonts w:eastAsia="宋体"/>
                <w:kern w:val="0"/>
                <w:sz w:val="24"/>
              </w:rPr>
              <w:t>生态效益</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pPr>
              <w:spacing w:line="360" w:lineRule="exact"/>
              <w:jc w:val="left"/>
              <w:rPr>
                <w:rFonts w:eastAsia="宋体"/>
                <w:kern w:val="0"/>
                <w:sz w:val="24"/>
              </w:rPr>
            </w:pP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60" w:lineRule="exact"/>
              <w:jc w:val="center"/>
              <w:rPr>
                <w:rFonts w:hint="eastAsia" w:eastAsia="宋体"/>
                <w:kern w:val="0"/>
                <w:sz w:val="24"/>
              </w:rPr>
            </w:pPr>
            <w:r>
              <w:rPr>
                <w:rFonts w:eastAsia="宋体"/>
                <w:kern w:val="0"/>
                <w:sz w:val="24"/>
              </w:rPr>
              <w:t>服务对象满意度</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pPr>
              <w:spacing w:line="360" w:lineRule="exact"/>
              <w:jc w:val="center"/>
              <w:rPr>
                <w:rFonts w:eastAsia="宋体"/>
                <w:b/>
                <w:bCs/>
                <w:kern w:val="0"/>
                <w:sz w:val="24"/>
              </w:rPr>
            </w:pPr>
            <w:r>
              <w:rPr>
                <w:rFonts w:eastAsia="宋体"/>
                <w:b/>
                <w:bCs/>
                <w:kern w:val="0"/>
                <w:sz w:val="24"/>
              </w:rPr>
              <w:t>总分</w:t>
            </w:r>
          </w:p>
        </w:tc>
        <w:tc>
          <w:tcPr>
            <w:tcW w:w="602" w:type="dxa"/>
            <w:noWrap w:val="0"/>
            <w:vAlign w:val="center"/>
          </w:tcPr>
          <w:p>
            <w:pPr>
              <w:spacing w:line="360" w:lineRule="exact"/>
              <w:jc w:val="center"/>
              <w:rPr>
                <w:rFonts w:eastAsia="宋体"/>
                <w:kern w:val="0"/>
                <w:sz w:val="24"/>
              </w:rPr>
            </w:pPr>
            <w:r>
              <w:rPr>
                <w:rFonts w:eastAsia="宋体"/>
                <w:kern w:val="0"/>
                <w:sz w:val="24"/>
              </w:rPr>
              <w:t>100</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99</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bl>
    <w:p>
      <w:pPr>
        <w:spacing w:line="360" w:lineRule="exact"/>
        <w:rPr>
          <w:rFonts w:hint="eastAsia" w:eastAsia="宋体"/>
          <w:kern w:val="0"/>
          <w:sz w:val="24"/>
          <w:lang w:val="en-US" w:eastAsia="zh-CN"/>
        </w:rPr>
      </w:pPr>
      <w:r>
        <w:rPr>
          <w:rFonts w:eastAsia="宋体"/>
          <w:kern w:val="0"/>
          <w:sz w:val="24"/>
        </w:rPr>
        <w:t>填报人：</w:t>
      </w:r>
      <w:r>
        <w:rPr>
          <w:rFonts w:hint="eastAsia" w:eastAsia="宋体"/>
          <w:bCs/>
          <w:kern w:val="0"/>
          <w:sz w:val="24"/>
          <w:lang w:val="en-US" w:eastAsia="zh-CN"/>
        </w:rPr>
        <w:t xml:space="preserve">高风君 </w:t>
      </w:r>
      <w:r>
        <w:rPr>
          <w:rFonts w:hint="eastAsia" w:eastAsia="宋体"/>
          <w:kern w:val="0"/>
          <w:sz w:val="24"/>
          <w:lang w:val="en-US" w:eastAsia="zh-CN"/>
        </w:rPr>
        <w:t xml:space="preserve">                                                  </w:t>
      </w:r>
      <w:r>
        <w:rPr>
          <w:rFonts w:eastAsia="宋体"/>
          <w:kern w:val="0"/>
          <w:sz w:val="24"/>
        </w:rPr>
        <w:t>单位负责人（签字）：</w:t>
      </w:r>
      <w:r>
        <w:rPr>
          <w:rFonts w:hint="eastAsia" w:eastAsia="宋体"/>
          <w:kern w:val="0"/>
          <w:sz w:val="24"/>
          <w:lang w:val="en-US" w:eastAsia="zh-CN"/>
        </w:rPr>
        <w:t>郭龙辉</w:t>
      </w:r>
    </w:p>
    <w:p>
      <w:pPr>
        <w:bidi w:val="0"/>
        <w:rPr>
          <w:rFonts w:hint="eastAsia" w:ascii="Times New Roman" w:hAnsi="Times New Roman" w:eastAsia="仿宋_GB2312" w:cs="Times New Roman"/>
          <w:kern w:val="2"/>
          <w:sz w:val="32"/>
          <w:szCs w:val="24"/>
          <w:lang w:val="en-US" w:eastAsia="zh-CN" w:bidi="ar-SA"/>
        </w:rPr>
      </w:pPr>
    </w:p>
    <w:p>
      <w:pPr>
        <w:rPr>
          <w:rFonts w:hint="eastAsia"/>
          <w:lang w:val="en-US" w:eastAsia="zh-CN"/>
        </w:rPr>
        <w:sectPr>
          <w:pgSz w:w="16840" w:h="11907" w:orient="landscape"/>
          <w:pgMar w:top="1418" w:right="1418" w:bottom="1418" w:left="1418" w:header="851" w:footer="1304" w:gutter="0"/>
          <w:cols w:space="720" w:num="1"/>
          <w:docGrid w:linePitch="534" w:charSpace="70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NjAwOTY4MDIzYzc2YTIxMjFlZjU3MjU2Yjc4OGEifQ=="/>
  </w:docVars>
  <w:rsids>
    <w:rsidRoot w:val="47911D41"/>
    <w:rsid w:val="013C56E1"/>
    <w:rsid w:val="02A75CE6"/>
    <w:rsid w:val="063A7DD8"/>
    <w:rsid w:val="07B533EA"/>
    <w:rsid w:val="0D0A4960"/>
    <w:rsid w:val="12B3274B"/>
    <w:rsid w:val="18695591"/>
    <w:rsid w:val="19401091"/>
    <w:rsid w:val="2AFB7D46"/>
    <w:rsid w:val="2B017F85"/>
    <w:rsid w:val="2B5B780D"/>
    <w:rsid w:val="34F547BB"/>
    <w:rsid w:val="39AF02C7"/>
    <w:rsid w:val="3A564D08"/>
    <w:rsid w:val="3B876B67"/>
    <w:rsid w:val="47623709"/>
    <w:rsid w:val="47911D41"/>
    <w:rsid w:val="4894769F"/>
    <w:rsid w:val="49E21DBF"/>
    <w:rsid w:val="5B2B24A8"/>
    <w:rsid w:val="61EB0C67"/>
    <w:rsid w:val="627A0F34"/>
    <w:rsid w:val="6336438B"/>
    <w:rsid w:val="71CB2E02"/>
    <w:rsid w:val="722E4900"/>
    <w:rsid w:val="7406423D"/>
    <w:rsid w:val="79FE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1"/>
    <w:pPr>
      <w:ind w:left="760"/>
      <w:outlineLvl w:val="3"/>
    </w:pPr>
    <w:rPr>
      <w:rFonts w:ascii="Microsoft JhengHei" w:hAnsi="Microsoft JhengHei" w:eastAsia="Microsoft JhengHe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4">
    <w:name w:val="Body Text"/>
    <w:basedOn w:val="1"/>
    <w:qFormat/>
    <w:uiPriority w:val="1"/>
    <w:pPr>
      <w:ind w:left="100"/>
    </w:pPr>
    <w:rPr>
      <w:rFonts w:ascii="宋体" w:hAnsi="宋体" w:eastAsia="宋体"/>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10629</Words>
  <Characters>11098</Characters>
  <Lines>0</Lines>
  <Paragraphs>0</Paragraphs>
  <TotalTime>1</TotalTime>
  <ScaleCrop>false</ScaleCrop>
  <LinksUpToDate>false</LinksUpToDate>
  <CharactersWithSpaces>11346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2023-05-05T07:38:00Z</dcterms:created>
  <dc:creator>WPS_1496197065</dc:creator>
  <cp:lastModifiedBy>WPS_1496197065</cp:lastModifiedBy>
  <cp:lastPrinted>2023-05-08T02:02:00Z</cp:lastPrinted>
  <dcterms:modified xsi:type="dcterms:W3CDTF">2024-08-28T07:38:42Z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BB185DA887B045E3811B1C8883480C7D_13</vt:lpwstr>
  </property>
</Properties>
</file>