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lang w:val="en-US" w:eastAsia="zh-CN"/>
        </w:rPr>
        <w:t>22</w:t>
      </w:r>
      <w:r>
        <w:rPr>
          <w:rFonts w:eastAsia="方正小标宋简体"/>
          <w:bCs/>
          <w:kern w:val="0"/>
          <w:sz w:val="44"/>
          <w:szCs w:val="44"/>
        </w:rPr>
        <w:t>年度部门整体支出绩效评价指标及评分表</w:t>
      </w:r>
    </w:p>
    <w:p>
      <w:pPr>
        <w:widowControl/>
        <w:jc w:val="left"/>
        <w:rPr>
          <w:rFonts w:eastAsia="宋体"/>
          <w:kern w:val="0"/>
          <w:sz w:val="24"/>
        </w:rPr>
      </w:pPr>
      <w:r>
        <w:rPr>
          <w:rFonts w:eastAsia="宋体"/>
          <w:kern w:val="0"/>
          <w:sz w:val="24"/>
        </w:rPr>
        <w:t xml:space="preserve">评价单位（盖章）： </w:t>
      </w:r>
      <w:r>
        <w:rPr>
          <w:rFonts w:hint="eastAsia" w:eastAsia="宋体"/>
          <w:kern w:val="0"/>
          <w:sz w:val="24"/>
          <w:lang w:eastAsia="zh-CN"/>
        </w:rPr>
        <w:t>三堂街镇人民政府</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7</w:t>
      </w:r>
      <w:bookmarkStart w:id="0" w:name="_GoBack"/>
      <w:bookmarkEnd w:id="0"/>
      <w:r>
        <w:rPr>
          <w:rFonts w:eastAsia="宋体"/>
          <w:kern w:val="0"/>
          <w:sz w:val="24"/>
        </w:rPr>
        <w:t>日</w:t>
      </w:r>
    </w:p>
    <w:tbl>
      <w:tblPr>
        <w:tblStyle w:val="3"/>
        <w:tblW w:w="161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31"/>
        <w:gridCol w:w="1315"/>
        <w:gridCol w:w="4359"/>
        <w:gridCol w:w="6471"/>
        <w:gridCol w:w="583"/>
        <w:gridCol w:w="707"/>
        <w:gridCol w:w="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7" w:type="dxa"/>
            <w:vMerge w:val="restart"/>
            <w:vAlign w:val="center"/>
          </w:tcPr>
          <w:p>
            <w:pPr>
              <w:widowControl/>
              <w:spacing w:line="300" w:lineRule="exact"/>
              <w:jc w:val="center"/>
              <w:rPr>
                <w:rFonts w:eastAsia="黑体"/>
                <w:bCs/>
                <w:kern w:val="0"/>
                <w:sz w:val="24"/>
              </w:rPr>
            </w:pPr>
            <w:r>
              <w:rPr>
                <w:rFonts w:eastAsia="黑体"/>
                <w:bCs/>
                <w:kern w:val="0"/>
                <w:sz w:val="24"/>
              </w:rPr>
              <w:t>一级指标</w:t>
            </w:r>
          </w:p>
        </w:tc>
        <w:tc>
          <w:tcPr>
            <w:tcW w:w="1131" w:type="dxa"/>
            <w:vMerge w:val="restart"/>
            <w:vAlign w:val="center"/>
          </w:tcPr>
          <w:p>
            <w:pPr>
              <w:widowControl/>
              <w:spacing w:line="300" w:lineRule="exact"/>
              <w:jc w:val="center"/>
              <w:rPr>
                <w:rFonts w:eastAsia="黑体"/>
                <w:bCs/>
                <w:kern w:val="0"/>
                <w:sz w:val="24"/>
              </w:rPr>
            </w:pPr>
            <w:r>
              <w:rPr>
                <w:rFonts w:eastAsia="黑体"/>
                <w:bCs/>
                <w:kern w:val="0"/>
                <w:sz w:val="24"/>
              </w:rPr>
              <w:t>二级</w:t>
            </w:r>
          </w:p>
          <w:p>
            <w:pPr>
              <w:widowControl/>
              <w:spacing w:line="300" w:lineRule="exact"/>
              <w:jc w:val="center"/>
              <w:rPr>
                <w:rFonts w:eastAsia="黑体"/>
                <w:bCs/>
                <w:kern w:val="0"/>
                <w:sz w:val="24"/>
              </w:rPr>
            </w:pPr>
            <w:r>
              <w:rPr>
                <w:rFonts w:eastAsia="黑体"/>
                <w:bCs/>
                <w:kern w:val="0"/>
                <w:sz w:val="24"/>
              </w:rPr>
              <w:t>指标</w:t>
            </w:r>
          </w:p>
        </w:tc>
        <w:tc>
          <w:tcPr>
            <w:tcW w:w="1315" w:type="dxa"/>
            <w:vMerge w:val="restart"/>
            <w:vAlign w:val="center"/>
          </w:tcPr>
          <w:p>
            <w:pPr>
              <w:widowControl/>
              <w:spacing w:line="300" w:lineRule="exact"/>
              <w:jc w:val="center"/>
              <w:rPr>
                <w:rFonts w:eastAsia="黑体"/>
                <w:bCs/>
                <w:kern w:val="0"/>
                <w:sz w:val="24"/>
              </w:rPr>
            </w:pPr>
            <w:r>
              <w:rPr>
                <w:rFonts w:eastAsia="黑体"/>
                <w:bCs/>
                <w:kern w:val="0"/>
                <w:sz w:val="24"/>
              </w:rPr>
              <w:t>三级</w:t>
            </w:r>
          </w:p>
          <w:p>
            <w:pPr>
              <w:widowControl/>
              <w:spacing w:line="300" w:lineRule="exact"/>
              <w:jc w:val="center"/>
              <w:rPr>
                <w:rFonts w:eastAsia="黑体"/>
                <w:bCs/>
                <w:kern w:val="0"/>
                <w:sz w:val="24"/>
              </w:rPr>
            </w:pPr>
            <w:r>
              <w:rPr>
                <w:rFonts w:eastAsia="黑体"/>
                <w:bCs/>
                <w:kern w:val="0"/>
                <w:sz w:val="24"/>
              </w:rPr>
              <w:t>指标</w:t>
            </w:r>
          </w:p>
        </w:tc>
        <w:tc>
          <w:tcPr>
            <w:tcW w:w="4359" w:type="dxa"/>
            <w:vMerge w:val="restart"/>
            <w:vAlign w:val="center"/>
          </w:tcPr>
          <w:p>
            <w:pPr>
              <w:widowControl/>
              <w:spacing w:line="300" w:lineRule="exact"/>
              <w:jc w:val="center"/>
              <w:rPr>
                <w:rFonts w:eastAsia="黑体"/>
                <w:bCs/>
                <w:kern w:val="0"/>
                <w:sz w:val="24"/>
              </w:rPr>
            </w:pPr>
            <w:r>
              <w:rPr>
                <w:rFonts w:eastAsia="黑体"/>
                <w:bCs/>
                <w:kern w:val="0"/>
                <w:sz w:val="24"/>
              </w:rPr>
              <w:t>指标内容</w:t>
            </w:r>
          </w:p>
        </w:tc>
        <w:tc>
          <w:tcPr>
            <w:tcW w:w="6471" w:type="dxa"/>
            <w:vMerge w:val="restart"/>
            <w:vAlign w:val="center"/>
          </w:tcPr>
          <w:p>
            <w:pPr>
              <w:widowControl/>
              <w:spacing w:line="300" w:lineRule="exact"/>
              <w:jc w:val="center"/>
              <w:rPr>
                <w:rFonts w:eastAsia="黑体"/>
                <w:bCs/>
                <w:kern w:val="0"/>
                <w:sz w:val="24"/>
              </w:rPr>
            </w:pPr>
            <w:r>
              <w:rPr>
                <w:rFonts w:eastAsia="黑体"/>
                <w:bCs/>
                <w:kern w:val="0"/>
                <w:sz w:val="24"/>
              </w:rPr>
              <w:t>指标说明</w:t>
            </w:r>
          </w:p>
        </w:tc>
        <w:tc>
          <w:tcPr>
            <w:tcW w:w="583" w:type="dxa"/>
            <w:vMerge w:val="restart"/>
            <w:vAlign w:val="center"/>
          </w:tcPr>
          <w:p>
            <w:pPr>
              <w:widowControl/>
              <w:spacing w:line="300" w:lineRule="exact"/>
              <w:jc w:val="center"/>
              <w:rPr>
                <w:rFonts w:eastAsia="黑体"/>
                <w:bCs/>
                <w:kern w:val="0"/>
                <w:sz w:val="24"/>
              </w:rPr>
            </w:pPr>
            <w:r>
              <w:rPr>
                <w:rFonts w:eastAsia="黑体"/>
                <w:bCs/>
                <w:kern w:val="0"/>
                <w:sz w:val="24"/>
              </w:rPr>
              <w:t>分值</w:t>
            </w:r>
          </w:p>
        </w:tc>
        <w:tc>
          <w:tcPr>
            <w:tcW w:w="707" w:type="dxa"/>
            <w:vMerge w:val="restart"/>
            <w:vAlign w:val="center"/>
          </w:tcPr>
          <w:p>
            <w:pPr>
              <w:widowControl/>
              <w:spacing w:line="300" w:lineRule="exact"/>
              <w:jc w:val="center"/>
              <w:rPr>
                <w:rFonts w:eastAsia="黑体"/>
                <w:bCs/>
                <w:kern w:val="0"/>
                <w:sz w:val="24"/>
              </w:rPr>
            </w:pPr>
            <w:r>
              <w:rPr>
                <w:rFonts w:eastAsia="黑体"/>
                <w:bCs/>
                <w:kern w:val="0"/>
                <w:sz w:val="24"/>
              </w:rPr>
              <w:t>自评得分</w:t>
            </w:r>
          </w:p>
        </w:tc>
        <w:tc>
          <w:tcPr>
            <w:tcW w:w="741" w:type="dxa"/>
            <w:vMerge w:val="restart"/>
            <w:vAlign w:val="center"/>
          </w:tcPr>
          <w:p>
            <w:pPr>
              <w:widowControl/>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7" w:type="dxa"/>
            <w:vMerge w:val="continue"/>
            <w:vAlign w:val="center"/>
          </w:tcPr>
          <w:p>
            <w:pPr>
              <w:widowControl/>
              <w:spacing w:line="300" w:lineRule="exact"/>
              <w:jc w:val="left"/>
              <w:rPr>
                <w:rFonts w:eastAsia="宋体"/>
                <w:b/>
                <w:bCs/>
                <w:kern w:val="0"/>
                <w:sz w:val="24"/>
              </w:rPr>
            </w:pPr>
          </w:p>
        </w:tc>
        <w:tc>
          <w:tcPr>
            <w:tcW w:w="1131" w:type="dxa"/>
            <w:vMerge w:val="continue"/>
            <w:vAlign w:val="center"/>
          </w:tcPr>
          <w:p>
            <w:pPr>
              <w:widowControl/>
              <w:spacing w:line="300" w:lineRule="exact"/>
              <w:jc w:val="left"/>
              <w:rPr>
                <w:rFonts w:eastAsia="宋体"/>
                <w:b/>
                <w:bCs/>
                <w:kern w:val="0"/>
                <w:sz w:val="24"/>
              </w:rPr>
            </w:pPr>
          </w:p>
        </w:tc>
        <w:tc>
          <w:tcPr>
            <w:tcW w:w="1315" w:type="dxa"/>
            <w:vMerge w:val="continue"/>
            <w:vAlign w:val="center"/>
          </w:tcPr>
          <w:p>
            <w:pPr>
              <w:widowControl/>
              <w:spacing w:line="300" w:lineRule="exact"/>
              <w:jc w:val="left"/>
              <w:rPr>
                <w:rFonts w:eastAsia="宋体"/>
                <w:b/>
                <w:bCs/>
                <w:kern w:val="0"/>
                <w:sz w:val="24"/>
              </w:rPr>
            </w:pPr>
          </w:p>
        </w:tc>
        <w:tc>
          <w:tcPr>
            <w:tcW w:w="4359" w:type="dxa"/>
            <w:vMerge w:val="continue"/>
            <w:vAlign w:val="center"/>
          </w:tcPr>
          <w:p>
            <w:pPr>
              <w:widowControl/>
              <w:spacing w:line="300" w:lineRule="exact"/>
              <w:jc w:val="left"/>
              <w:rPr>
                <w:rFonts w:eastAsia="宋体"/>
                <w:b/>
                <w:bCs/>
                <w:kern w:val="0"/>
                <w:sz w:val="24"/>
              </w:rPr>
            </w:pPr>
          </w:p>
        </w:tc>
        <w:tc>
          <w:tcPr>
            <w:tcW w:w="6471" w:type="dxa"/>
            <w:vMerge w:val="continue"/>
            <w:vAlign w:val="center"/>
          </w:tcPr>
          <w:p>
            <w:pPr>
              <w:widowControl/>
              <w:spacing w:line="300" w:lineRule="exact"/>
              <w:jc w:val="left"/>
              <w:rPr>
                <w:rFonts w:eastAsia="宋体"/>
                <w:b/>
                <w:bCs/>
                <w:kern w:val="0"/>
                <w:sz w:val="24"/>
              </w:rPr>
            </w:pPr>
          </w:p>
        </w:tc>
        <w:tc>
          <w:tcPr>
            <w:tcW w:w="583" w:type="dxa"/>
            <w:vMerge w:val="continue"/>
            <w:vAlign w:val="center"/>
          </w:tcPr>
          <w:p>
            <w:pPr>
              <w:widowControl/>
              <w:spacing w:line="300" w:lineRule="exact"/>
              <w:jc w:val="left"/>
              <w:rPr>
                <w:rFonts w:eastAsia="宋体"/>
                <w:b/>
                <w:bCs/>
                <w:kern w:val="0"/>
                <w:sz w:val="24"/>
              </w:rPr>
            </w:pPr>
          </w:p>
        </w:tc>
        <w:tc>
          <w:tcPr>
            <w:tcW w:w="707" w:type="dxa"/>
            <w:vMerge w:val="continue"/>
            <w:vAlign w:val="center"/>
          </w:tcPr>
          <w:p>
            <w:pPr>
              <w:widowControl/>
              <w:spacing w:line="300" w:lineRule="exact"/>
              <w:jc w:val="left"/>
              <w:rPr>
                <w:rFonts w:eastAsia="宋体"/>
                <w:b/>
                <w:bCs/>
                <w:kern w:val="0"/>
                <w:sz w:val="24"/>
              </w:rPr>
            </w:pPr>
          </w:p>
        </w:tc>
        <w:tc>
          <w:tcPr>
            <w:tcW w:w="741" w:type="dxa"/>
            <w:vMerge w:val="continue"/>
            <w:vAlign w:val="center"/>
          </w:tcPr>
          <w:p>
            <w:pPr>
              <w:widowControl/>
              <w:spacing w:line="300" w:lineRule="exact"/>
              <w:jc w:val="left"/>
              <w:rPr>
                <w:rFonts w:eastAsia="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投入</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00" w:lineRule="exact"/>
              <w:jc w:val="center"/>
              <w:rPr>
                <w:rFonts w:eastAsia="宋体"/>
                <w:kern w:val="0"/>
                <w:sz w:val="24"/>
              </w:rPr>
            </w:pPr>
            <w:r>
              <w:rPr>
                <w:rFonts w:eastAsia="宋体"/>
                <w:kern w:val="0"/>
                <w:sz w:val="24"/>
              </w:rPr>
              <w:t xml:space="preserve">设定 </w:t>
            </w:r>
          </w:p>
          <w:p>
            <w:pPr>
              <w:widowControl/>
              <w:spacing w:line="300" w:lineRule="exact"/>
              <w:jc w:val="center"/>
              <w:rPr>
                <w:rFonts w:eastAsia="宋体"/>
                <w:kern w:val="0"/>
                <w:sz w:val="24"/>
              </w:rPr>
            </w:pPr>
            <w:r>
              <w:rPr>
                <w:rFonts w:eastAsia="宋体"/>
                <w:kern w:val="0"/>
                <w:sz w:val="24"/>
              </w:rPr>
              <w:t>目标</w:t>
            </w:r>
          </w:p>
          <w:p>
            <w:pPr>
              <w:widowControl/>
              <w:spacing w:line="300" w:lineRule="exact"/>
              <w:jc w:val="center"/>
              <w:rPr>
                <w:rFonts w:eastAsia="宋体"/>
                <w:kern w:val="0"/>
                <w:sz w:val="24"/>
              </w:rPr>
            </w:pPr>
            <w:r>
              <w:rPr>
                <w:rFonts w:eastAsia="宋体"/>
                <w:kern w:val="0"/>
                <w:sz w:val="24"/>
              </w:rPr>
              <w:t>（10分）</w:t>
            </w:r>
          </w:p>
        </w:tc>
        <w:tc>
          <w:tcPr>
            <w:tcW w:w="1315" w:type="dxa"/>
            <w:vMerge w:val="restart"/>
            <w:vAlign w:val="center"/>
          </w:tcPr>
          <w:p>
            <w:pPr>
              <w:widowControl/>
              <w:spacing w:line="310" w:lineRule="exact"/>
              <w:jc w:val="center"/>
              <w:rPr>
                <w:rFonts w:eastAsia="宋体"/>
                <w:kern w:val="0"/>
                <w:sz w:val="24"/>
              </w:rPr>
            </w:pPr>
            <w:r>
              <w:rPr>
                <w:rFonts w:eastAsia="宋体"/>
                <w:kern w:val="0"/>
                <w:sz w:val="24"/>
              </w:rPr>
              <w:t>绩效目标合理性</w:t>
            </w:r>
          </w:p>
          <w:p>
            <w:pPr>
              <w:widowControl/>
              <w:spacing w:line="310" w:lineRule="exact"/>
              <w:jc w:val="center"/>
              <w:rPr>
                <w:rFonts w:eastAsia="宋体"/>
                <w:kern w:val="0"/>
                <w:sz w:val="24"/>
              </w:rPr>
            </w:pPr>
            <w:r>
              <w:rPr>
                <w:rFonts w:eastAsia="宋体"/>
                <w:kern w:val="0"/>
                <w:sz w:val="24"/>
              </w:rPr>
              <w:t>（5分）</w:t>
            </w:r>
          </w:p>
          <w:p>
            <w:pPr>
              <w:widowControl/>
              <w:spacing w:line="310" w:lineRule="exact"/>
              <w:jc w:val="center"/>
              <w:rPr>
                <w:rFonts w:eastAsia="宋体"/>
                <w:kern w:val="0"/>
                <w:sz w:val="24"/>
              </w:rPr>
            </w:pP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6471" w:type="dxa"/>
            <w:vAlign w:val="center"/>
          </w:tcPr>
          <w:p>
            <w:pPr>
              <w:widowControl/>
              <w:spacing w:line="310" w:lineRule="exact"/>
              <w:jc w:val="left"/>
              <w:rPr>
                <w:rFonts w:eastAsia="宋体"/>
                <w:kern w:val="0"/>
                <w:sz w:val="24"/>
              </w:rPr>
            </w:pPr>
            <w:r>
              <w:rPr>
                <w:rFonts w:eastAsia="宋体"/>
                <w:kern w:val="0"/>
                <w:sz w:val="24"/>
              </w:rPr>
              <w:t>1、是否设立年度绩效目标，目标是否明确；</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b/>
                <w:bCs/>
                <w:kern w:val="0"/>
                <w:sz w:val="24"/>
              </w:rPr>
            </w:pPr>
            <w:r>
              <w:rPr>
                <w:rFonts w:eastAsia="宋体"/>
                <w:kern w:val="0"/>
                <w:sz w:val="24"/>
              </w:rPr>
              <w:t>2</w:t>
            </w:r>
          </w:p>
        </w:tc>
        <w:tc>
          <w:tcPr>
            <w:tcW w:w="741" w:type="dxa"/>
            <w:vAlign w:val="center"/>
          </w:tcPr>
          <w:p>
            <w:pPr>
              <w:widowControl/>
              <w:spacing w:line="300" w:lineRule="exact"/>
              <w:jc w:val="center"/>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2、是否符合国家法律法规、国民经济和社会发展总体规划；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3、是否符合部门三定方案确定的职责；</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4、是否符合部门制定的中长期实施规划；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type="textWrapping"/>
            </w:r>
            <w:r>
              <w:rPr>
                <w:rFonts w:eastAsia="宋体"/>
                <w:kern w:val="0"/>
                <w:sz w:val="24"/>
              </w:rPr>
              <w:t>（5分）</w:t>
            </w: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6471" w:type="dxa"/>
            <w:vAlign w:val="center"/>
          </w:tcPr>
          <w:p>
            <w:pPr>
              <w:widowControl/>
              <w:spacing w:line="310" w:lineRule="exact"/>
              <w:rPr>
                <w:rFonts w:eastAsia="宋体"/>
                <w:kern w:val="0"/>
                <w:sz w:val="24"/>
              </w:rPr>
            </w:pPr>
            <w:r>
              <w:rPr>
                <w:rFonts w:eastAsia="宋体"/>
                <w:kern w:val="0"/>
                <w:sz w:val="24"/>
              </w:rPr>
              <w:t>1、指标设置是否清晰、细化、可衡量；</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jc w:val="left"/>
              <w:rPr>
                <w:rFonts w:eastAsia="宋体"/>
                <w:kern w:val="0"/>
                <w:sz w:val="24"/>
              </w:rPr>
            </w:pPr>
            <w:r>
              <w:rPr>
                <w:rFonts w:eastAsia="宋体"/>
                <w:kern w:val="0"/>
                <w:sz w:val="24"/>
              </w:rPr>
              <w:t>3、是否与部门年度的任务数或计划数相对应；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4、是否与本年度部门预算资金相匹配。</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配置</w:t>
            </w:r>
          </w:p>
          <w:p>
            <w:pPr>
              <w:widowControl/>
              <w:spacing w:line="300" w:lineRule="exact"/>
              <w:jc w:val="center"/>
              <w:rPr>
                <w:rFonts w:eastAsia="宋体"/>
                <w:kern w:val="0"/>
                <w:sz w:val="24"/>
              </w:rPr>
            </w:pPr>
            <w:r>
              <w:rPr>
                <w:rFonts w:eastAsia="宋体"/>
                <w:kern w:val="0"/>
                <w:sz w:val="24"/>
              </w:rPr>
              <w:t>（10分）</w:t>
            </w:r>
          </w:p>
        </w:tc>
        <w:tc>
          <w:tcPr>
            <w:tcW w:w="1315" w:type="dxa"/>
            <w:vAlign w:val="center"/>
          </w:tcPr>
          <w:p>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type="textWrapping"/>
            </w: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6471" w:type="dxa"/>
            <w:vAlign w:val="center"/>
          </w:tcPr>
          <w:p>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ind w:left="240" w:hanging="240" w:hangingChars="100"/>
              <w:jc w:val="left"/>
              <w:rPr>
                <w:rFonts w:eastAsia="宋体"/>
                <w:kern w:val="0"/>
                <w:sz w:val="24"/>
              </w:rPr>
            </w:pPr>
            <w:r>
              <w:rPr>
                <w:rFonts w:eastAsia="宋体"/>
                <w:kern w:val="0"/>
                <w:sz w:val="24"/>
              </w:rPr>
              <w:t>“三公经费”变动率</w:t>
            </w:r>
          </w:p>
          <w:p>
            <w:pPr>
              <w:widowControl/>
              <w:spacing w:line="310" w:lineRule="exact"/>
              <w:jc w:val="left"/>
              <w:rPr>
                <w:rFonts w:eastAsia="宋体"/>
                <w:kern w:val="0"/>
                <w:sz w:val="24"/>
              </w:rPr>
            </w:pP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6471" w:type="dxa"/>
            <w:vAlign w:val="center"/>
          </w:tcPr>
          <w:p>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上年度“三公经费”总额]×100%。大于0的计0分，等于0的计3分，小于0的计4分。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type="textWrapping"/>
            </w:r>
            <w:r>
              <w:rPr>
                <w:rFonts w:eastAsia="宋体"/>
                <w:kern w:val="0"/>
                <w:sz w:val="24"/>
              </w:rPr>
              <w:t>（4分）</w:t>
            </w:r>
          </w:p>
        </w:tc>
        <w:tc>
          <w:tcPr>
            <w:tcW w:w="4359" w:type="dxa"/>
            <w:vAlign w:val="center"/>
          </w:tcPr>
          <w:p>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6471" w:type="dxa"/>
            <w:vAlign w:val="center"/>
          </w:tcPr>
          <w:p>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项目总支出总额）×100%。80%及以上计满分，60%及以上计3分，40%及以上计2分，40%以下的计1分。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eastAsia="宋体"/>
                <w:kern w:val="0"/>
                <w:sz w:val="24"/>
              </w:rPr>
              <w:t>4</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t>过程</w:t>
            </w:r>
          </w:p>
          <w:p>
            <w:pPr>
              <w:widowControl/>
              <w:spacing w:line="300" w:lineRule="exact"/>
              <w:jc w:val="center"/>
              <w:rPr>
                <w:rFonts w:eastAsia="宋体"/>
                <w:kern w:val="0"/>
                <w:sz w:val="24"/>
              </w:rPr>
            </w:pPr>
            <w:r>
              <w:rPr>
                <w:rFonts w:eastAsia="宋体"/>
                <w:kern w:val="0"/>
                <w:sz w:val="24"/>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执行</w:t>
            </w:r>
            <w:r>
              <w:rPr>
                <w:rFonts w:eastAsia="宋体"/>
                <w:kern w:val="0"/>
                <w:sz w:val="24"/>
              </w:rPr>
              <w:br w:type="textWrapping"/>
            </w:r>
            <w:r>
              <w:rPr>
                <w:rFonts w:eastAsia="宋体"/>
                <w:kern w:val="0"/>
                <w:sz w:val="24"/>
              </w:rPr>
              <w:t>（15分）</w:t>
            </w:r>
          </w:p>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部门本年度预算完成数与预算数的比率，反映部门预算完成程度。</w:t>
            </w:r>
          </w:p>
        </w:tc>
        <w:tc>
          <w:tcPr>
            <w:tcW w:w="6471" w:type="dxa"/>
            <w:vAlign w:val="center"/>
          </w:tcPr>
          <w:p>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调整率</w:t>
            </w:r>
            <w:r>
              <w:rPr>
                <w:rFonts w:eastAsia="宋体"/>
                <w:kern w:val="0"/>
                <w:sz w:val="24"/>
              </w:rPr>
              <w:br w:type="textWrapping"/>
            </w:r>
            <w:r>
              <w:rPr>
                <w:rFonts w:eastAsia="宋体"/>
                <w:kern w:val="0"/>
                <w:sz w:val="24"/>
              </w:rPr>
              <w:t>（4分）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6471" w:type="dxa"/>
            <w:vAlign w:val="center"/>
          </w:tcPr>
          <w:p>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hint="eastAsia" w:eastAsia="宋体"/>
                <w:kern w:val="0"/>
                <w:sz w:val="24"/>
                <w:lang w:val="en-US" w:eastAsia="zh-CN"/>
              </w:rPr>
              <w:t>3.9</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支付</w:t>
            </w:r>
            <w:r>
              <w:rPr>
                <w:rFonts w:eastAsia="宋体"/>
                <w:kern w:val="0"/>
                <w:sz w:val="24"/>
              </w:rPr>
              <w:br w:type="textWrapping"/>
            </w:r>
            <w:r>
              <w:rPr>
                <w:rFonts w:eastAsia="宋体"/>
                <w:kern w:val="0"/>
                <w:sz w:val="24"/>
              </w:rPr>
              <w:t>进度率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6471" w:type="dxa"/>
            <w:vAlign w:val="center"/>
          </w:tcPr>
          <w:p>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结  转</w:t>
            </w:r>
            <w:r>
              <w:rPr>
                <w:rFonts w:eastAsia="宋体"/>
                <w:kern w:val="0"/>
                <w:sz w:val="24"/>
              </w:rPr>
              <w:br w:type="textWrapping"/>
            </w:r>
            <w:r>
              <w:rPr>
                <w:rFonts w:eastAsia="宋体"/>
                <w:kern w:val="0"/>
                <w:sz w:val="24"/>
              </w:rPr>
              <w:t>结余率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部门本年度结转结余总额与支出预算数的比率。</w:t>
            </w:r>
          </w:p>
        </w:tc>
        <w:tc>
          <w:tcPr>
            <w:tcW w:w="6471" w:type="dxa"/>
            <w:vAlign w:val="center"/>
          </w:tcPr>
          <w:p>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center"/>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公用经费控制率   （2分）</w:t>
            </w:r>
          </w:p>
        </w:tc>
        <w:tc>
          <w:tcPr>
            <w:tcW w:w="4359" w:type="dxa"/>
            <w:vAlign w:val="center"/>
          </w:tcPr>
          <w:p>
            <w:pPr>
              <w:widowControl/>
              <w:spacing w:line="32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6471" w:type="dxa"/>
            <w:vAlign w:val="center"/>
          </w:tcPr>
          <w:p>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三公经费控制率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6471" w:type="dxa"/>
            <w:vAlign w:val="center"/>
          </w:tcPr>
          <w:p>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政府采购执行率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部门本年度实际政府采购金额与年初政府采购预算的比率。</w:t>
            </w:r>
          </w:p>
        </w:tc>
        <w:tc>
          <w:tcPr>
            <w:tcW w:w="6471" w:type="dxa"/>
            <w:vAlign w:val="center"/>
          </w:tcPr>
          <w:p>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投资评审执行率</w:t>
            </w:r>
          </w:p>
          <w:p>
            <w:pPr>
              <w:widowControl/>
              <w:spacing w:line="320" w:lineRule="exact"/>
              <w:jc w:val="center"/>
              <w:rPr>
                <w:rFonts w:eastAsia="宋体"/>
                <w:kern w:val="0"/>
                <w:sz w:val="24"/>
              </w:rPr>
            </w:pP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部门本年度实际进行投资评审的项目金额与应进行投资评审的项目金额的比率。</w:t>
            </w:r>
          </w:p>
        </w:tc>
        <w:tc>
          <w:tcPr>
            <w:tcW w:w="6471" w:type="dxa"/>
            <w:vAlign w:val="center"/>
          </w:tcPr>
          <w:p>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r>
              <w:rPr>
                <w:rFonts w:eastAsia="宋体"/>
                <w:kern w:val="0"/>
                <w:sz w:val="24"/>
              </w:rPr>
              <w:t>过程</w:t>
            </w:r>
          </w:p>
          <w:p>
            <w:pPr>
              <w:widowControl/>
              <w:spacing w:line="300" w:lineRule="exact"/>
              <w:jc w:val="left"/>
              <w:rPr>
                <w:rFonts w:eastAsia="宋体"/>
                <w:kern w:val="0"/>
                <w:sz w:val="21"/>
                <w:szCs w:val="21"/>
              </w:rPr>
            </w:pPr>
            <w:r>
              <w:rPr>
                <w:rFonts w:eastAsia="宋体"/>
                <w:kern w:val="0"/>
                <w:sz w:val="21"/>
                <w:szCs w:val="21"/>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管理</w:t>
            </w:r>
            <w:r>
              <w:rPr>
                <w:rFonts w:eastAsia="宋体"/>
                <w:kern w:val="0"/>
                <w:sz w:val="24"/>
              </w:rPr>
              <w:br w:type="textWrapping"/>
            </w:r>
            <w:r>
              <w:rPr>
                <w:rFonts w:eastAsia="宋体"/>
                <w:kern w:val="0"/>
                <w:sz w:val="24"/>
              </w:rPr>
              <w:t>（18分）</w:t>
            </w:r>
          </w:p>
        </w:tc>
        <w:tc>
          <w:tcPr>
            <w:tcW w:w="1315" w:type="dxa"/>
            <w:vMerge w:val="restart"/>
            <w:vAlign w:val="center"/>
          </w:tcPr>
          <w:p>
            <w:pPr>
              <w:widowControl/>
              <w:spacing w:line="300" w:lineRule="exact"/>
              <w:jc w:val="center"/>
              <w:rPr>
                <w:rFonts w:eastAsia="宋体"/>
                <w:kern w:val="0"/>
                <w:sz w:val="24"/>
              </w:rPr>
            </w:pPr>
            <w:r>
              <w:rPr>
                <w:rFonts w:eastAsia="宋体"/>
                <w:kern w:val="0"/>
                <w:sz w:val="24"/>
              </w:rPr>
              <w:t>制度管理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6471" w:type="dxa"/>
            <w:vAlign w:val="center"/>
          </w:tcPr>
          <w:p>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2、相关制度是否合法、合规、完整；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3、相关制度是否得到有效执行；</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4、制度执行机构是否健全；</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5、是否建立有效的内部监督机制，机制运行是否有效。</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资金管理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6471" w:type="dxa"/>
            <w:vAlign w:val="center"/>
          </w:tcPr>
          <w:p>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2、资金使用是否符合预算批复的用途；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3、重大开支是否经过评估论证；</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4、资金拨付是否程序规范、手续齐备；</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5、是否存在截留、挤占、挪用、虚列支出等情况。</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color w:val="FF0000"/>
                <w:kern w:val="0"/>
                <w:sz w:val="24"/>
              </w:rPr>
            </w:pPr>
          </w:p>
        </w:tc>
        <w:tc>
          <w:tcPr>
            <w:tcW w:w="1315" w:type="dxa"/>
            <w:vMerge w:val="restart"/>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（4分）</w:t>
            </w:r>
          </w:p>
        </w:tc>
        <w:tc>
          <w:tcPr>
            <w:tcW w:w="4359" w:type="dxa"/>
            <w:vMerge w:val="restart"/>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6471" w:type="dxa"/>
            <w:vAlign w:val="top"/>
          </w:tcPr>
          <w:p>
            <w:pPr>
              <w:spacing w:line="370" w:lineRule="exact"/>
              <w:rPr>
                <w:rFonts w:eastAsia="宋体"/>
                <w:kern w:val="0"/>
                <w:sz w:val="24"/>
              </w:rPr>
            </w:pPr>
            <w:r>
              <w:rPr>
                <w:rFonts w:eastAsia="宋体"/>
                <w:sz w:val="24"/>
              </w:rPr>
              <w:t>1、是否已制定或具有绩效管理制度；</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3、绩效管理制度是否有效落实；</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4、是否按要求开展绩效管理工作。</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信息公开</w:t>
            </w:r>
            <w:r>
              <w:rPr>
                <w:rFonts w:eastAsia="宋体"/>
                <w:kern w:val="0"/>
                <w:sz w:val="24"/>
              </w:rPr>
              <w:br w:type="textWrapping"/>
            </w:r>
            <w:r>
              <w:rPr>
                <w:rFonts w:eastAsia="宋体"/>
                <w:kern w:val="0"/>
                <w:sz w:val="24"/>
              </w:rPr>
              <w:t>（2分）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6471" w:type="dxa"/>
            <w:vAlign w:val="center"/>
          </w:tcPr>
          <w:p>
            <w:pPr>
              <w:widowControl/>
              <w:spacing w:line="300" w:lineRule="exact"/>
              <w:rPr>
                <w:rFonts w:eastAsia="宋体"/>
                <w:kern w:val="0"/>
                <w:sz w:val="24"/>
              </w:rPr>
            </w:pPr>
            <w:r>
              <w:rPr>
                <w:rFonts w:eastAsia="宋体"/>
                <w:kern w:val="0"/>
                <w:sz w:val="24"/>
              </w:rPr>
              <w:t>1、基础数据信息和会计信息资料是否真实、准确、完整；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2、是否按规定内容、规定时限公开预决算信息</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过程</w:t>
            </w:r>
            <w:r>
              <w:rPr>
                <w:rFonts w:eastAsia="宋体"/>
                <w:kern w:val="0"/>
                <w:sz w:val="24"/>
              </w:rPr>
              <w:br w:type="textWrapping"/>
            </w:r>
            <w:r>
              <w:rPr>
                <w:rFonts w:eastAsia="宋体"/>
                <w:kern w:val="0"/>
                <w:sz w:val="24"/>
              </w:rPr>
              <w:t>（40分）</w:t>
            </w:r>
          </w:p>
          <w:p>
            <w:pPr>
              <w:widowControl/>
              <w:spacing w:line="360" w:lineRule="exact"/>
              <w:jc w:val="center"/>
              <w:rPr>
                <w:rFonts w:eastAsia="宋体"/>
                <w:kern w:val="0"/>
                <w:sz w:val="24"/>
              </w:rPr>
            </w:pP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资产</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4"/>
              </w:rPr>
              <w:t>（7分）</w:t>
            </w:r>
          </w:p>
        </w:tc>
        <w:tc>
          <w:tcPr>
            <w:tcW w:w="1315" w:type="dxa"/>
            <w:vMerge w:val="restart"/>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（2分）</w:t>
            </w:r>
          </w:p>
        </w:tc>
        <w:tc>
          <w:tcPr>
            <w:tcW w:w="4359" w:type="dxa"/>
            <w:vMerge w:val="restart"/>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6471" w:type="dxa"/>
            <w:vAlign w:val="center"/>
          </w:tcPr>
          <w:p>
            <w:pPr>
              <w:spacing w:line="370" w:lineRule="exact"/>
              <w:rPr>
                <w:rFonts w:eastAsia="宋体"/>
                <w:kern w:val="0"/>
                <w:sz w:val="24"/>
              </w:rPr>
            </w:pPr>
            <w:r>
              <w:rPr>
                <w:rFonts w:eastAsia="宋体"/>
                <w:sz w:val="24"/>
              </w:rPr>
              <w:t>1. 是否已制定或具有合法、合规、完整的资产管理制度；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sz w:val="24"/>
              </w:rPr>
              <w:t>2. 制度是否得到有效执行；</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restart"/>
            <w:vAlign w:val="center"/>
          </w:tcPr>
          <w:p>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type="textWrapping"/>
            </w:r>
            <w:r>
              <w:rPr>
                <w:rFonts w:eastAsia="宋体"/>
                <w:kern w:val="0"/>
                <w:sz w:val="24"/>
              </w:rPr>
              <w:t>（4分）</w:t>
            </w:r>
          </w:p>
        </w:tc>
        <w:tc>
          <w:tcPr>
            <w:tcW w:w="4359" w:type="dxa"/>
            <w:vMerge w:val="restart"/>
            <w:vAlign w:val="center"/>
          </w:tcPr>
          <w:p>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6471" w:type="dxa"/>
            <w:vAlign w:val="center"/>
          </w:tcPr>
          <w:p>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restart"/>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4</w:t>
            </w:r>
          </w:p>
        </w:tc>
        <w:tc>
          <w:tcPr>
            <w:tcW w:w="741" w:type="dxa"/>
            <w:vMerge w:val="restart"/>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kern w:val="0"/>
                <w:sz w:val="24"/>
              </w:rPr>
              <w:t>3、</w:t>
            </w:r>
            <w:r>
              <w:rPr>
                <w:rFonts w:eastAsia="宋体"/>
                <w:sz w:val="24"/>
              </w:rPr>
              <w:t xml:space="preserve">资产配置是否合理，是否得到有效利用； </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kern w:val="0"/>
                <w:sz w:val="24"/>
              </w:rPr>
            </w:pPr>
          </w:p>
        </w:tc>
        <w:tc>
          <w:tcPr>
            <w:tcW w:w="1131" w:type="dxa"/>
            <w:vMerge w:val="continue"/>
            <w:vAlign w:val="center"/>
          </w:tcPr>
          <w:p>
            <w:pPr>
              <w:widowControl/>
              <w:spacing w:line="400" w:lineRule="exac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kern w:val="0"/>
                <w:sz w:val="24"/>
              </w:rPr>
              <w:t>4、</w:t>
            </w:r>
            <w:r>
              <w:rPr>
                <w:rFonts w:eastAsia="宋体"/>
                <w:sz w:val="24"/>
              </w:rPr>
              <w:t>资产处置是否规范，处置收入及时足额上缴。</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400" w:lineRule="exact"/>
              <w:jc w:val="center"/>
              <w:rPr>
                <w:rFonts w:eastAsia="宋体"/>
                <w:kern w:val="0"/>
                <w:sz w:val="24"/>
              </w:rPr>
            </w:pPr>
            <w:r>
              <w:rPr>
                <w:rFonts w:eastAsia="宋体"/>
                <w:kern w:val="0"/>
                <w:sz w:val="24"/>
              </w:rPr>
              <w:t>固定资产利用率</w:t>
            </w:r>
            <w:r>
              <w:rPr>
                <w:rFonts w:eastAsia="宋体"/>
                <w:kern w:val="0"/>
                <w:sz w:val="24"/>
              </w:rPr>
              <w:br w:type="textWrapping"/>
            </w:r>
            <w:r>
              <w:rPr>
                <w:rFonts w:eastAsia="宋体"/>
                <w:kern w:val="0"/>
                <w:sz w:val="24"/>
              </w:rPr>
              <w:t>（1分）</w:t>
            </w:r>
          </w:p>
        </w:tc>
        <w:tc>
          <w:tcPr>
            <w:tcW w:w="4359" w:type="dxa"/>
            <w:vAlign w:val="center"/>
          </w:tcPr>
          <w:p>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6471" w:type="dxa"/>
            <w:vAlign w:val="center"/>
          </w:tcPr>
          <w:p>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20" w:lineRule="exact"/>
              <w:jc w:val="center"/>
              <w:rPr>
                <w:rFonts w:eastAsia="宋体"/>
                <w:kern w:val="0"/>
                <w:sz w:val="24"/>
              </w:rPr>
            </w:pPr>
            <w:r>
              <w:rPr>
                <w:rFonts w:eastAsia="宋体"/>
                <w:kern w:val="0"/>
                <w:sz w:val="24"/>
              </w:rPr>
              <w:t>实际</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部门履行职责而实际完成工作数与计划工作数的比率。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质量</w:t>
            </w:r>
          </w:p>
          <w:p>
            <w:pPr>
              <w:widowControl/>
              <w:spacing w:line="320" w:lineRule="exact"/>
              <w:jc w:val="center"/>
              <w:rPr>
                <w:rFonts w:eastAsia="宋体"/>
                <w:kern w:val="0"/>
                <w:sz w:val="24"/>
              </w:rPr>
            </w:pPr>
            <w:r>
              <w:rPr>
                <w:rFonts w:eastAsia="宋体"/>
                <w:kern w:val="0"/>
                <w:sz w:val="24"/>
              </w:rPr>
              <w:t xml:space="preserve">达标率 </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重点工作办结率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部门年度重点工作实际完成数与计划数的比率。</w:t>
            </w:r>
          </w:p>
        </w:tc>
        <w:tc>
          <w:tcPr>
            <w:tcW w:w="6471" w:type="dxa"/>
            <w:vAlign w:val="center"/>
          </w:tcPr>
          <w:p>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履职</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经济效益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部门履行职责对经济发展所带来的直接或间接影响。</w:t>
            </w:r>
          </w:p>
        </w:tc>
        <w:tc>
          <w:tcPr>
            <w:tcW w:w="6471" w:type="dxa"/>
            <w:vMerge w:val="restart"/>
            <w:vAlign w:val="center"/>
          </w:tcPr>
          <w:p>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社会效益 （5分）</w:t>
            </w:r>
          </w:p>
        </w:tc>
        <w:tc>
          <w:tcPr>
            <w:tcW w:w="4359" w:type="dxa"/>
            <w:vAlign w:val="center"/>
          </w:tcPr>
          <w:p>
            <w:pPr>
              <w:widowControl/>
              <w:spacing w:line="360" w:lineRule="exact"/>
              <w:rPr>
                <w:rFonts w:eastAsia="宋体"/>
                <w:kern w:val="0"/>
                <w:sz w:val="24"/>
              </w:rPr>
            </w:pPr>
            <w:r>
              <w:rPr>
                <w:rFonts w:eastAsia="宋体"/>
                <w:kern w:val="0"/>
                <w:sz w:val="24"/>
              </w:rPr>
              <w:t>部门履行职责对社会发展所带来的直接或间接影响。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生态效益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部门履行职责对生态环境所带来的直接或间接影响。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社会公众或服务对象对部门履职效果的满意程度</w:t>
            </w:r>
          </w:p>
        </w:tc>
        <w:tc>
          <w:tcPr>
            <w:tcW w:w="6471" w:type="dxa"/>
            <w:vAlign w:val="center"/>
          </w:tcPr>
          <w:p>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3" w:type="dxa"/>
            <w:gridSpan w:val="5"/>
            <w:vAlign w:val="center"/>
          </w:tcPr>
          <w:p>
            <w:pPr>
              <w:widowControl/>
              <w:spacing w:line="360" w:lineRule="exact"/>
              <w:jc w:val="center"/>
              <w:rPr>
                <w:rFonts w:eastAsia="宋体"/>
                <w:b/>
                <w:bCs/>
                <w:kern w:val="0"/>
                <w:sz w:val="24"/>
              </w:rPr>
            </w:pPr>
            <w:r>
              <w:rPr>
                <w:rFonts w:eastAsia="宋体"/>
                <w:b/>
                <w:bCs/>
                <w:kern w:val="0"/>
                <w:sz w:val="24"/>
              </w:rPr>
              <w:t>总  分</w:t>
            </w:r>
          </w:p>
        </w:tc>
        <w:tc>
          <w:tcPr>
            <w:tcW w:w="583" w:type="dxa"/>
            <w:vAlign w:val="center"/>
          </w:tcPr>
          <w:p>
            <w:pPr>
              <w:widowControl/>
              <w:spacing w:line="360" w:lineRule="exact"/>
              <w:jc w:val="center"/>
              <w:rPr>
                <w:rFonts w:eastAsia="宋体"/>
                <w:kern w:val="0"/>
                <w:sz w:val="24"/>
              </w:rPr>
            </w:pPr>
            <w:r>
              <w:rPr>
                <w:rFonts w:eastAsia="宋体"/>
                <w:kern w:val="0"/>
                <w:sz w:val="24"/>
              </w:rPr>
              <w:t>100</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99.7</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bl>
    <w:p>
      <w:pPr>
        <w:widowControl/>
        <w:spacing w:line="360" w:lineRule="exact"/>
        <w:rPr>
          <w:rFonts w:eastAsia="宋体"/>
          <w:kern w:val="0"/>
          <w:sz w:val="24"/>
        </w:rPr>
        <w:sectPr>
          <w:footerReference r:id="rId3" w:type="default"/>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6</w:t>
    </w:r>
    <w:r>
      <w:rPr>
        <w:sz w:val="28"/>
        <w:szCs w:val="28"/>
      </w:rPr>
      <w:fldChar w:fldCharType="end"/>
    </w:r>
    <w:r>
      <w:rPr>
        <w:rFonts w:hint="eastAsia"/>
        <w:sz w:val="28"/>
        <w:szCs w:val="28"/>
      </w:rPr>
      <w:t xml:space="preserve"> </w:t>
    </w:r>
    <w:r>
      <w:rPr>
        <w:rStyle w:val="5"/>
        <w:rFonts w:hint="eastAsia"/>
        <w:sz w:val="28"/>
        <w:szCs w:val="28"/>
      </w:rPr>
      <w:t>—</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jg1OWM5ZGQ3MTZlOTg3ZjFlMjYzYzlkYTExZTQifQ=="/>
  </w:docVars>
  <w:rsids>
    <w:rsidRoot w:val="521E6E0C"/>
    <w:rsid w:val="006E1389"/>
    <w:rsid w:val="521E6E0C"/>
    <w:rsid w:val="5B396280"/>
    <w:rsid w:val="70AA1E3A"/>
    <w:rsid w:val="78CE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3166</Words>
  <Characters>3275</Characters>
  <Lines>0</Lines>
  <Paragraphs>0</Paragraphs>
  <TotalTime>2</TotalTime>
  <ScaleCrop>false</ScaleCrop>
  <LinksUpToDate>false</LinksUpToDate>
  <CharactersWithSpaces>3468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2014-08-20T18:40:00Z</dcterms:created>
  <dc:creator>nn</dc:creator>
  <cp:lastModifiedBy>Still Sunshine*^_^*</cp:lastModifiedBy>
  <dcterms:modified xsi:type="dcterms:W3CDTF">2023-11-02T08:10:02Z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488E0E2F4EC84C47A12206584B30C8B1</vt:lpwstr>
  </property>
</Properties>
</file>