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桃江县2023年度部门整体支出绩效评价</w:t>
      </w:r>
    </w:p>
    <w:p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基础数据表</w:t>
      </w:r>
    </w:p>
    <w:tbl>
      <w:tblPr>
        <w:tblStyle w:val="3"/>
        <w:tblpPr w:leftFromText="180" w:rightFromText="180" w:vertAnchor="text" w:horzAnchor="page" w:tblpXSpec="center" w:tblpY="181"/>
        <w:tblOverlap w:val="never"/>
        <w:tblW w:w="10227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4"/>
        <w:gridCol w:w="1180"/>
        <w:gridCol w:w="880"/>
        <w:gridCol w:w="1100"/>
        <w:gridCol w:w="1100"/>
        <w:gridCol w:w="1060"/>
        <w:gridCol w:w="12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财政供养人员情况（人）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编制数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2023年实际在职人数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220%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经费控制情况（万元）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2022年决算数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2023年预算数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三公经费：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1.83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1.84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1、公务用车购置和维护经费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 公车购置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1440" w:firstLineChars="6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公车运行维护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2、出国经费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3、公务接待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1.83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1.84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1.83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项目支出：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1、业务工作经费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2、运行维护经费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……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公用经费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4.63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5.34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其中：办公经费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水费、电费、差旅费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1.63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lang w:val="en-US" w:eastAsia="zh-CN"/>
              </w:rPr>
              <w:t>2.34</w:t>
            </w: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会议费、培训费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政府采购金额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部门基本支出预算调整</w:t>
            </w:r>
          </w:p>
        </w:tc>
        <w:tc>
          <w:tcPr>
            <w:tcW w:w="206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楼堂馆所控制情况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（2023年完工项目）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批复规模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（m²）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实际规模（m²）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规  模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预算投资（万元）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实际投资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（万元）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投资概算</w:t>
            </w:r>
          </w:p>
          <w:p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0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3" w:type="dxa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厉行节约保障措施</w:t>
            </w:r>
          </w:p>
        </w:tc>
        <w:tc>
          <w:tcPr>
            <w:tcW w:w="6603" w:type="dxa"/>
            <w:gridSpan w:val="6"/>
            <w:noWrap w:val="0"/>
            <w:vAlign w:val="top"/>
          </w:tcPr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pacing w:before="20" w:line="340" w:lineRule="atLeas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说明：</w:t>
      </w:r>
      <w:r>
        <w:rPr>
          <w:rFonts w:eastAsia="宋体"/>
          <w:kern w:val="0"/>
          <w:sz w:val="21"/>
          <w:szCs w:val="21"/>
        </w:rPr>
        <w:t xml:space="preserve"> “</w:t>
      </w:r>
      <w:r>
        <w:rPr>
          <w:rFonts w:hAnsi="宋体" w:eastAsia="宋体"/>
          <w:kern w:val="0"/>
          <w:sz w:val="21"/>
          <w:szCs w:val="21"/>
        </w:rPr>
        <w:t>项目支出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需要填报基本支出以外的所有项目支出情况，</w:t>
      </w:r>
      <w:r>
        <w:rPr>
          <w:rFonts w:eastAsia="宋体"/>
          <w:kern w:val="0"/>
          <w:sz w:val="21"/>
          <w:szCs w:val="21"/>
        </w:rPr>
        <w:t>“</w:t>
      </w:r>
      <w:r>
        <w:rPr>
          <w:rFonts w:hAnsi="宋体" w:eastAsia="宋体"/>
          <w:kern w:val="0"/>
          <w:sz w:val="21"/>
          <w:szCs w:val="21"/>
        </w:rPr>
        <w:t>公用经费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填报基本支出中的一般商品和服务支出。</w:t>
      </w:r>
    </w:p>
    <w:p>
      <w:pPr>
        <w:autoSpaceDE w:val="0"/>
        <w:autoSpaceDN w:val="0"/>
        <w:spacing w:before="20" w:line="340" w:lineRule="atLeast"/>
        <w:ind w:firstLine="630" w:firstLineChars="300"/>
        <w:rPr>
          <w:rFonts w:eastAsia="宋体"/>
          <w:kern w:val="0"/>
          <w:sz w:val="21"/>
          <w:szCs w:val="21"/>
        </w:rPr>
      </w:pPr>
    </w:p>
    <w:p>
      <w:pPr>
        <w:autoSpaceDE w:val="0"/>
        <w:autoSpaceDN w:val="0"/>
        <w:spacing w:before="20" w:line="340" w:lineRule="atLeast"/>
        <w:rPr>
          <w:color w:val="000000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       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          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eastAsia="宋体"/>
          <w:kern w:val="0"/>
          <w:sz w:val="21"/>
          <w:szCs w:val="21"/>
        </w:rPr>
        <w:t xml:space="preserve">              </w:t>
      </w:r>
      <w:r>
        <w:rPr>
          <w:rFonts w:hAnsi="宋体" w:eastAsia="宋体"/>
          <w:kern w:val="0"/>
          <w:sz w:val="21"/>
          <w:szCs w:val="21"/>
        </w:rPr>
        <w:t>单位负责人签字</w:t>
      </w:r>
    </w:p>
    <w:p>
      <w:pPr>
        <w:jc w:val="left"/>
        <w:rPr>
          <w:rFonts w:eastAsia="黑体"/>
          <w:bCs/>
          <w:kern w:val="0"/>
          <w:szCs w:val="32"/>
        </w:rPr>
      </w:pPr>
    </w:p>
    <w:p>
      <w:pPr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附件2</w:t>
      </w: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桃江县2023年度部门整体支出绩效自评表</w:t>
      </w:r>
    </w:p>
    <w:tbl>
      <w:tblPr>
        <w:tblStyle w:val="3"/>
        <w:tblpPr w:leftFromText="180" w:rightFromText="180" w:vertAnchor="text" w:horzAnchor="page" w:tblpXSpec="center" w:tblpY="111"/>
        <w:tblOverlap w:val="never"/>
        <w:tblW w:w="1028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080"/>
        <w:gridCol w:w="1363"/>
        <w:gridCol w:w="1260"/>
        <w:gridCol w:w="1320"/>
        <w:gridCol w:w="1260"/>
        <w:gridCol w:w="720"/>
        <w:gridCol w:w="86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42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县级预算部门、单位名称</w:t>
            </w:r>
          </w:p>
        </w:tc>
        <w:tc>
          <w:tcPr>
            <w:tcW w:w="6860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桃江县工伤保险基金管理所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年度预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算申请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43" w:type="dxa"/>
            <w:gridSpan w:val="2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70.19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70.19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70.35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70.19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政府性基金拨款：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项目支出：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年度总体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23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预算执行率达到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4280" w:type="dxa"/>
            <w:gridSpan w:val="4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预算执行率达到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9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绩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偏差原因分析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产出指标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（50分）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参保人数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52000人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54000人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质量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政策知晓率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时效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1-12月按时完成全年任务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=100%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成本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单位正常运转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稳定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稳定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经济效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运行经费使用率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=100%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社会效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确保工伤保险基金平稳运行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=100%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生态效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工伤人员生活有所改善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有效改善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有效改善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可持续影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响指标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单位效能建设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非常好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非常好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exact"/>
        </w:trPr>
        <w:tc>
          <w:tcPr>
            <w:tcW w:w="98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服务对象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eastAsia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98%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7263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>
      <w:pPr>
        <w:spacing w:line="594" w:lineRule="exact"/>
        <w:jc w:val="left"/>
        <w:rPr>
          <w:rFonts w:eastAsia="黑体"/>
          <w:bCs/>
          <w:kern w:val="0"/>
          <w:szCs w:val="32"/>
        </w:rPr>
      </w:pPr>
      <w:bookmarkStart w:id="0" w:name="RANGE!A1:G4"/>
    </w:p>
    <w:p>
      <w:pPr>
        <w:autoSpaceDE w:val="0"/>
        <w:autoSpaceDN w:val="0"/>
        <w:spacing w:before="20" w:line="340" w:lineRule="atLeast"/>
        <w:jc w:val="center"/>
        <w:rPr>
          <w:rFonts w:eastAsia="黑体"/>
          <w:bCs/>
          <w:kern w:val="0"/>
          <w:szCs w:val="32"/>
        </w:rPr>
      </w:pPr>
      <w:r>
        <w:rPr>
          <w:rFonts w:hAnsi="宋体" w:eastAsia="宋体"/>
          <w:kern w:val="0"/>
          <w:sz w:val="21"/>
          <w:szCs w:val="21"/>
        </w:rPr>
        <w:t>填表人：</w:t>
      </w:r>
      <w:r>
        <w:rPr>
          <w:rFonts w:eastAsia="宋体"/>
          <w:kern w:val="0"/>
          <w:sz w:val="21"/>
          <w:szCs w:val="21"/>
        </w:rPr>
        <w:t xml:space="preserve">          </w:t>
      </w:r>
      <w:r>
        <w:rPr>
          <w:rFonts w:hAnsi="宋体" w:eastAsia="宋体"/>
          <w:kern w:val="0"/>
          <w:sz w:val="21"/>
          <w:szCs w:val="21"/>
        </w:rPr>
        <w:t>填报日期：</w:t>
      </w:r>
      <w:r>
        <w:rPr>
          <w:rFonts w:eastAsia="宋体"/>
          <w:kern w:val="0"/>
          <w:sz w:val="21"/>
          <w:szCs w:val="21"/>
        </w:rPr>
        <w:t xml:space="preserve">           </w:t>
      </w:r>
      <w:r>
        <w:rPr>
          <w:rFonts w:hAnsi="宋体" w:eastAsia="宋体"/>
          <w:kern w:val="0"/>
          <w:sz w:val="21"/>
          <w:szCs w:val="21"/>
        </w:rPr>
        <w:t>联系电话：</w:t>
      </w:r>
      <w:r>
        <w:rPr>
          <w:rFonts w:eastAsia="宋体"/>
          <w:kern w:val="0"/>
          <w:sz w:val="21"/>
          <w:szCs w:val="21"/>
        </w:rPr>
        <w:t xml:space="preserve">               </w:t>
      </w:r>
      <w:bookmarkStart w:id="1" w:name="_GoBack"/>
      <w:bookmarkEnd w:id="1"/>
      <w:r>
        <w:rPr>
          <w:rFonts w:eastAsia="宋体"/>
          <w:kern w:val="0"/>
          <w:sz w:val="21"/>
          <w:szCs w:val="21"/>
        </w:rPr>
        <w:t xml:space="preserve">  </w:t>
      </w:r>
      <w:r>
        <w:rPr>
          <w:rFonts w:hAnsi="宋体" w:eastAsia="宋体"/>
          <w:kern w:val="0"/>
          <w:sz w:val="21"/>
          <w:szCs w:val="21"/>
        </w:rPr>
        <w:t>单位负责人签字：</w:t>
      </w:r>
    </w:p>
    <w:p>
      <w:pPr>
        <w:spacing w:line="594" w:lineRule="exact"/>
        <w:jc w:val="left"/>
        <w:rPr>
          <w:rFonts w:eastAsia="黑体"/>
          <w:bCs/>
          <w:kern w:val="0"/>
          <w:szCs w:val="32"/>
        </w:rPr>
      </w:pPr>
    </w:p>
    <w:p>
      <w:pPr>
        <w:spacing w:line="594" w:lineRule="exact"/>
        <w:jc w:val="left"/>
        <w:rPr>
          <w:rFonts w:eastAsia="黑体"/>
          <w:bCs/>
          <w:kern w:val="0"/>
          <w:szCs w:val="32"/>
        </w:rPr>
      </w:pPr>
    </w:p>
    <w:p>
      <w:pPr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附件3</w:t>
      </w:r>
      <w:bookmarkEnd w:id="0"/>
    </w:p>
    <w:p>
      <w:pPr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2023年度部门整体支出绩效报告</w:t>
      </w:r>
    </w:p>
    <w:p>
      <w:pPr>
        <w:spacing w:line="594" w:lineRule="exac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</w:t>
      </w:r>
    </w:p>
    <w:p>
      <w:pPr>
        <w:spacing w:line="594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t>一、部门概况</w:t>
      </w:r>
    </w:p>
    <w:p>
      <w:pPr>
        <w:widowControl/>
        <w:spacing w:line="594" w:lineRule="exact"/>
        <w:ind w:firstLine="643" w:firstLineChars="200"/>
        <w:rPr>
          <w:rFonts w:hint="eastAsia"/>
          <w:kern w:val="0"/>
          <w:szCs w:val="32"/>
          <w:lang w:eastAsia="zh-CN"/>
        </w:rPr>
      </w:pPr>
      <w:r>
        <w:rPr>
          <w:rFonts w:hint="eastAsia"/>
          <w:b/>
          <w:bCs/>
          <w:kern w:val="0"/>
          <w:szCs w:val="32"/>
        </w:rPr>
        <w:t>名    称</w:t>
      </w:r>
      <w:r>
        <w:rPr>
          <w:rFonts w:hint="eastAsia"/>
          <w:kern w:val="0"/>
          <w:szCs w:val="32"/>
        </w:rPr>
        <w:t>：桃江县工伤保险</w:t>
      </w:r>
      <w:r>
        <w:rPr>
          <w:rFonts w:hint="eastAsia"/>
          <w:kern w:val="0"/>
          <w:szCs w:val="32"/>
          <w:lang w:eastAsia="zh-CN"/>
        </w:rPr>
        <w:t>基金管理所</w:t>
      </w:r>
    </w:p>
    <w:p>
      <w:pPr>
        <w:widowControl/>
        <w:spacing w:line="594" w:lineRule="exact"/>
        <w:ind w:firstLine="643" w:firstLineChars="200"/>
        <w:rPr>
          <w:rFonts w:hint="eastAsia"/>
          <w:kern w:val="0"/>
          <w:szCs w:val="32"/>
        </w:rPr>
      </w:pPr>
      <w:r>
        <w:rPr>
          <w:rFonts w:hint="eastAsia"/>
          <w:b/>
          <w:bCs/>
          <w:kern w:val="0"/>
          <w:szCs w:val="32"/>
        </w:rPr>
        <w:t>机关性质</w:t>
      </w:r>
      <w:r>
        <w:rPr>
          <w:rFonts w:hint="eastAsia"/>
          <w:kern w:val="0"/>
          <w:szCs w:val="32"/>
        </w:rPr>
        <w:t>：参照公务员管理事业单位</w:t>
      </w:r>
    </w:p>
    <w:p>
      <w:pPr>
        <w:widowControl/>
        <w:spacing w:line="594" w:lineRule="exact"/>
        <w:ind w:firstLine="643" w:firstLineChars="200"/>
        <w:rPr>
          <w:rFonts w:hint="eastAsia"/>
          <w:kern w:val="0"/>
          <w:szCs w:val="32"/>
        </w:rPr>
      </w:pPr>
      <w:r>
        <w:rPr>
          <w:rFonts w:hint="eastAsia"/>
          <w:b/>
          <w:bCs/>
          <w:kern w:val="0"/>
          <w:szCs w:val="32"/>
        </w:rPr>
        <w:t>职能范围</w:t>
      </w:r>
      <w:r>
        <w:rPr>
          <w:rFonts w:hint="eastAsia"/>
          <w:kern w:val="0"/>
          <w:szCs w:val="32"/>
        </w:rPr>
        <w:t>：负责办理全县范围内的工伤保险参保登记，征缴工伤保险费；负责核定各项工伤待遇，管理工伤保险基金；负责开展工伤预防、安全生产宣传和业务培训；负责工伤事故勘察、监督工伤医疗费用使用情况；负责为参保单位和工伤职工免费提供咨询服务。</w:t>
      </w:r>
    </w:p>
    <w:p>
      <w:pPr>
        <w:widowControl/>
        <w:spacing w:line="594" w:lineRule="exact"/>
        <w:ind w:firstLine="643" w:firstLineChars="200"/>
        <w:rPr>
          <w:rFonts w:hint="eastAsia"/>
          <w:kern w:val="0"/>
          <w:szCs w:val="32"/>
        </w:rPr>
      </w:pPr>
      <w:r>
        <w:rPr>
          <w:rFonts w:hint="eastAsia"/>
          <w:b/>
          <w:bCs/>
          <w:kern w:val="0"/>
          <w:szCs w:val="32"/>
        </w:rPr>
        <w:t>机构设置</w:t>
      </w:r>
      <w:r>
        <w:rPr>
          <w:rFonts w:hint="eastAsia"/>
          <w:kern w:val="0"/>
          <w:szCs w:val="32"/>
        </w:rPr>
        <w:t>：为参照公务员管理事业单位，</w:t>
      </w:r>
      <w:r>
        <w:rPr>
          <w:rFonts w:hint="eastAsia"/>
          <w:kern w:val="0"/>
          <w:szCs w:val="32"/>
          <w:lang w:val="en-US" w:eastAsia="zh-CN"/>
        </w:rPr>
        <w:t>年末在编人数5人。</w:t>
      </w:r>
      <w:r>
        <w:rPr>
          <w:rFonts w:hint="eastAsia"/>
          <w:kern w:val="0"/>
          <w:szCs w:val="32"/>
        </w:rPr>
        <w:t>内设办公室、财务股、基金征缴股、待遇审核股、稽核股5个股室。</w:t>
      </w:r>
    </w:p>
    <w:p>
      <w:pPr>
        <w:widowControl/>
        <w:spacing w:line="594" w:lineRule="exact"/>
        <w:ind w:firstLine="643" w:firstLineChars="200"/>
        <w:rPr>
          <w:rFonts w:hint="eastAsia" w:eastAsia="仿宋_GB2312"/>
          <w:kern w:val="0"/>
          <w:szCs w:val="32"/>
          <w:lang w:eastAsia="zh-CN"/>
        </w:rPr>
      </w:pPr>
      <w:r>
        <w:rPr>
          <w:rFonts w:hint="eastAsia"/>
          <w:b/>
          <w:bCs/>
          <w:kern w:val="0"/>
          <w:szCs w:val="32"/>
        </w:rPr>
        <w:t>人员</w:t>
      </w:r>
      <w:r>
        <w:rPr>
          <w:rFonts w:hint="eastAsia"/>
          <w:b/>
          <w:bCs/>
          <w:kern w:val="0"/>
          <w:szCs w:val="32"/>
          <w:lang w:eastAsia="zh-CN"/>
        </w:rPr>
        <w:t>情况</w:t>
      </w:r>
      <w:r>
        <w:rPr>
          <w:rFonts w:hint="eastAsia"/>
          <w:kern w:val="0"/>
          <w:szCs w:val="32"/>
        </w:rPr>
        <w:t>：</w:t>
      </w:r>
      <w:r>
        <w:rPr>
          <w:rFonts w:hint="eastAsia"/>
          <w:kern w:val="0"/>
          <w:szCs w:val="32"/>
          <w:lang w:eastAsia="zh-CN"/>
        </w:rPr>
        <w:t>在岗工作人员</w:t>
      </w:r>
      <w:r>
        <w:rPr>
          <w:rFonts w:hint="eastAsia"/>
          <w:kern w:val="0"/>
          <w:szCs w:val="32"/>
          <w:lang w:val="en-US" w:eastAsia="zh-CN"/>
        </w:rPr>
        <w:t>11名，其中</w:t>
      </w:r>
      <w:r>
        <w:rPr>
          <w:rFonts w:hint="eastAsia"/>
          <w:kern w:val="0"/>
          <w:szCs w:val="32"/>
        </w:rPr>
        <w:t>所长1名，副所长2</w:t>
      </w:r>
      <w:r>
        <w:rPr>
          <w:rFonts w:hint="eastAsia"/>
          <w:kern w:val="0"/>
          <w:szCs w:val="32"/>
          <w:lang w:eastAsia="zh-CN"/>
        </w:rPr>
        <w:t>名。</w:t>
      </w:r>
    </w:p>
    <w:p>
      <w:pPr>
        <w:spacing w:line="594" w:lineRule="exact"/>
        <w:ind w:firstLine="643" w:firstLineChars="200"/>
        <w:rPr>
          <w:rFonts w:hint="eastAsia"/>
          <w:kern w:val="0"/>
          <w:szCs w:val="32"/>
          <w:lang w:eastAsia="zh-CN"/>
        </w:rPr>
      </w:pPr>
      <w:r>
        <w:rPr>
          <w:rFonts w:hint="eastAsia"/>
          <w:b/>
          <w:bCs/>
          <w:kern w:val="0"/>
          <w:szCs w:val="32"/>
        </w:rPr>
        <w:t>机关驻地</w:t>
      </w:r>
      <w:r>
        <w:rPr>
          <w:rFonts w:hint="eastAsia"/>
          <w:kern w:val="0"/>
          <w:szCs w:val="32"/>
        </w:rPr>
        <w:t>：桃江县政务服务中心</w:t>
      </w:r>
      <w:r>
        <w:rPr>
          <w:rFonts w:hint="eastAsia"/>
          <w:kern w:val="0"/>
          <w:szCs w:val="32"/>
          <w:lang w:eastAsia="zh-CN"/>
        </w:rPr>
        <w:t>。</w:t>
      </w:r>
    </w:p>
    <w:p>
      <w:pPr>
        <w:spacing w:line="594" w:lineRule="exact"/>
        <w:ind w:firstLine="640" w:firstLineChars="200"/>
        <w:rPr>
          <w:kern w:val="0"/>
          <w:szCs w:val="32"/>
        </w:rPr>
      </w:pPr>
      <w:r>
        <w:rPr>
          <w:rFonts w:eastAsia="黑体"/>
          <w:bCs/>
          <w:kern w:val="0"/>
          <w:szCs w:val="32"/>
        </w:rPr>
        <w:t>二、部门整体支出管理及使用情况分析</w:t>
      </w:r>
    </w:p>
    <w:p>
      <w:pPr>
        <w:widowControl/>
        <w:spacing w:line="594" w:lineRule="exact"/>
        <w:ind w:firstLine="640" w:firstLineChars="200"/>
        <w:rPr>
          <w:rFonts w:eastAsia="楷体_GB2312"/>
          <w:kern w:val="0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我单位2023年整体支出70.35万元，其中基本支出70.35万元，项目支出0万元。</w:t>
      </w:r>
    </w:p>
    <w:p>
      <w:pPr>
        <w:widowControl/>
        <w:spacing w:line="594" w:lineRule="exact"/>
        <w:ind w:firstLine="640" w:firstLineChars="200"/>
        <w:rPr>
          <w:rFonts w:eastAsia="楷体_GB2312"/>
          <w:kern w:val="0"/>
          <w:szCs w:val="32"/>
        </w:rPr>
      </w:pPr>
      <w:r>
        <w:rPr>
          <w:rFonts w:eastAsia="楷体_GB2312"/>
          <w:kern w:val="0"/>
          <w:szCs w:val="32"/>
        </w:rPr>
        <w:t>（一）基本支出</w:t>
      </w:r>
    </w:p>
    <w:p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2023年基本支出70.35万元，其中工资福利支出59.37万元、商品和服务支出10.97万元、对个人和家庭的补助支出0万元。</w:t>
      </w:r>
    </w:p>
    <w:p>
      <w:pPr>
        <w:tabs>
          <w:tab w:val="left" w:pos="3396"/>
        </w:tabs>
        <w:spacing w:line="594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三公”经费年初预算1.84万元，实际开支1.83万元，全部为公务接待费。本单位贯彻落实党政机关厉行节约的有关规定，从严控制一般性支出，切实降低行政成本；以提高机构公共服务能力为着力点，进一步整合财政资金，合理安排各类预算支出。</w:t>
      </w:r>
    </w:p>
    <w:p>
      <w:pPr>
        <w:widowControl/>
        <w:tabs>
          <w:tab w:val="left" w:pos="3396"/>
        </w:tabs>
        <w:spacing w:line="594" w:lineRule="exact"/>
        <w:ind w:firstLine="640" w:firstLineChars="200"/>
        <w:rPr>
          <w:rFonts w:eastAsia="楷体_GB2312"/>
          <w:kern w:val="0"/>
          <w:szCs w:val="32"/>
        </w:rPr>
      </w:pPr>
      <w:r>
        <w:rPr>
          <w:rFonts w:eastAsia="楷体_GB2312"/>
          <w:kern w:val="0"/>
          <w:szCs w:val="32"/>
        </w:rPr>
        <w:t>（二）项目支出</w:t>
      </w:r>
      <w:r>
        <w:rPr>
          <w:rFonts w:eastAsia="楷体_GB2312"/>
          <w:kern w:val="0"/>
          <w:szCs w:val="32"/>
        </w:rPr>
        <w:tab/>
      </w:r>
    </w:p>
    <w:p>
      <w:pPr>
        <w:widowControl/>
        <w:spacing w:line="594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2023年决算中项目支出0万元，主要是今年决算把项目支出全部计入到基本支出里面。</w:t>
      </w:r>
    </w:p>
    <w:p>
      <w:pPr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三、项目组织实施情况分析</w:t>
      </w:r>
    </w:p>
    <w:p>
      <w:pPr>
        <w:spacing w:line="594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本单位无</w:t>
      </w:r>
      <w:r>
        <w:rPr>
          <w:kern w:val="0"/>
          <w:szCs w:val="32"/>
        </w:rPr>
        <w:t>项目招投标、调整、竣工验收等情况。</w:t>
      </w:r>
    </w:p>
    <w:p>
      <w:pPr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四、部门整体支出绩效情况分析</w:t>
      </w:r>
    </w:p>
    <w:p>
      <w:pPr>
        <w:spacing w:line="594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从整体情况来看，我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所</w:t>
      </w:r>
      <w:r>
        <w:rPr>
          <w:rFonts w:ascii="Times New Roman" w:hAnsi="Times New Roman" w:cs="Times New Roman"/>
          <w:kern w:val="0"/>
          <w:szCs w:val="32"/>
        </w:rPr>
        <w:t>严格按照年初预算进行部门整体支出。在支出过程中，能严格遵守各项规章制度。所有项目都详细制定了方案，严格按方案组织实施，并加强了监督。尤其是在专项经费支出上，我们能严格执行专项资金财务管理办法，专款专用，无截留、无挪用等现象。</w:t>
      </w:r>
    </w:p>
    <w:p>
      <w:pPr>
        <w:spacing w:line="594" w:lineRule="exact"/>
        <w:ind w:firstLine="640" w:firstLineChars="200"/>
        <w:rPr>
          <w:kern w:val="0"/>
          <w:szCs w:val="32"/>
        </w:rPr>
      </w:pPr>
      <w:r>
        <w:rPr>
          <w:rFonts w:eastAsia="黑体"/>
          <w:bCs/>
          <w:kern w:val="0"/>
          <w:szCs w:val="32"/>
        </w:rPr>
        <w:t>五、绩效评价工作开展情况</w:t>
      </w:r>
    </w:p>
    <w:p>
      <w:pPr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（一）绩效评价目的。</w:t>
      </w:r>
      <w:r>
        <w:rPr>
          <w:rFonts w:ascii="Times New Roman" w:hAnsi="Times New Roman" w:cs="Times New Roman"/>
          <w:kern w:val="0"/>
          <w:szCs w:val="32"/>
        </w:rPr>
        <w:t>此次绩效评价的目的是：严格落实《预算法》及省、市绩效管理工作的有关规定，进一步规范财政资金的管理，强化财政支出绩效理念，提升部门责任意识，提高资金使用效益，促进人社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工伤保险事业</w:t>
      </w:r>
      <w:r>
        <w:rPr>
          <w:rFonts w:ascii="Times New Roman" w:hAnsi="Times New Roman" w:cs="Times New Roman"/>
          <w:kern w:val="0"/>
          <w:szCs w:val="32"/>
        </w:rPr>
        <w:t>的发展。</w:t>
      </w:r>
    </w:p>
    <w:p>
      <w:pPr>
        <w:spacing w:line="594" w:lineRule="exact"/>
        <w:ind w:firstLine="640" w:firstLineChars="200"/>
        <w:rPr>
          <w:rFonts w:ascii="仿宋" w:hAnsi="仿宋" w:eastAsia="仿宋" w:cs="仿宋"/>
          <w:kern w:val="2"/>
          <w:sz w:val="30"/>
          <w:szCs w:val="30"/>
        </w:rPr>
      </w:pPr>
      <w:r>
        <w:rPr>
          <w:kern w:val="0"/>
          <w:szCs w:val="32"/>
        </w:rPr>
        <w:t>（二）绩效评价工作过</w:t>
      </w:r>
      <w:r>
        <w:rPr>
          <w:rFonts w:ascii="Times New Roman" w:hAnsi="Times New Roman" w:cs="Times New Roman"/>
          <w:kern w:val="0"/>
          <w:szCs w:val="32"/>
        </w:rPr>
        <w:t>程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：</w:t>
      </w:r>
      <w:r>
        <w:rPr>
          <w:rFonts w:ascii="Times New Roman" w:hAnsi="Times New Roman" w:cs="Times New Roman"/>
          <w:kern w:val="0"/>
          <w:szCs w:val="32"/>
        </w:rPr>
        <w:t>根据绩效评价的要求，我们成立了自评工作领导小组，对照自评方案进行研究和布署，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领导</w:t>
      </w:r>
      <w:r>
        <w:rPr>
          <w:rFonts w:ascii="Times New Roman" w:hAnsi="Times New Roman" w:cs="Times New Roman"/>
          <w:kern w:val="0"/>
          <w:szCs w:val="32"/>
        </w:rPr>
        <w:t>及各股室全程参与，按照自评方案的要求，对照各实施项目的内容逐条逐项自评。在自评过程发现问题，查找原因，及时纠正偏差，为下一步工作夯实基础。</w:t>
      </w:r>
    </w:p>
    <w:p>
      <w:pPr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六、存在的主要问题</w:t>
      </w:r>
    </w:p>
    <w:p>
      <w:pPr>
        <w:spacing w:line="594" w:lineRule="exact"/>
        <w:ind w:firstLine="640" w:firstLineChars="200"/>
        <w:rPr>
          <w:rFonts w:hint="eastAsia" w:ascii="Times New Roman" w:hAnsi="Times New Roman" w:cs="Times New Roman"/>
          <w:kern w:val="0"/>
          <w:szCs w:val="32"/>
          <w:lang w:eastAsia="zh-CN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预算较为紧张，资金困难。</w:t>
      </w:r>
    </w:p>
    <w:p>
      <w:pPr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七、改进措施和有关建议</w:t>
      </w:r>
    </w:p>
    <w:p>
      <w:pPr>
        <w:spacing w:line="560" w:lineRule="exact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请财政根据人社工作发展的要求和实际情况，提高年初部门预算额度，将常规项目支出纳入年度预算，保证机关正常运转。</w:t>
      </w:r>
    </w:p>
    <w:p>
      <w:pPr>
        <w:spacing w:line="560" w:lineRule="exact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spacing w:line="560" w:lineRule="exact"/>
        <w:jc w:val="right"/>
        <w:rPr>
          <w:rFonts w:hint="eastAsia" w:ascii="Times New Roman" w:hAnsi="Times New Roman" w:cs="Times New Roman"/>
          <w:kern w:val="0"/>
          <w:szCs w:val="32"/>
          <w:lang w:eastAsia="zh-CN"/>
        </w:rPr>
      </w:pPr>
    </w:p>
    <w:p>
      <w:pPr>
        <w:spacing w:line="560" w:lineRule="exact"/>
        <w:jc w:val="right"/>
        <w:rPr>
          <w:rFonts w:hint="eastAsia" w:ascii="Times New Roman" w:hAnsi="Times New Roman" w:cs="Times New Roman"/>
          <w:kern w:val="0"/>
          <w:szCs w:val="32"/>
          <w:lang w:eastAsia="zh-CN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桃江县工伤保险基金管理所</w:t>
      </w:r>
    </w:p>
    <w:p>
      <w:pPr>
        <w:spacing w:line="560" w:lineRule="exact"/>
        <w:jc w:val="right"/>
        <w:rPr>
          <w:rFonts w:hint="eastAsia" w:ascii="Times New Roman" w:hAnsi="Times New Roman" w:cs="Times New Roman"/>
          <w:kern w:val="0"/>
          <w:szCs w:val="32"/>
          <w:lang w:val="en-US" w:eastAsia="zh-CN"/>
        </w:rPr>
      </w:pPr>
    </w:p>
    <w:p>
      <w:pPr>
        <w:spacing w:line="560" w:lineRule="exact"/>
        <w:jc w:val="right"/>
        <w:rPr>
          <w:rFonts w:hint="default" w:ascii="Times New Roman" w:hAnsi="Times New Roman" w:cs="Times New Roman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2024年4月1日</w:t>
      </w:r>
    </w:p>
    <w:p>
      <w:pPr>
        <w:spacing w:line="560" w:lineRule="exact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spacing w:line="560" w:lineRule="exact"/>
        <w:jc w:val="left"/>
        <w:rPr>
          <w:rFonts w:ascii="Times New Roman" w:hAnsi="Times New Roman" w:cs="Times New Roman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TU4NWUwZDMwZTczZTNhYzJhZTcwYjc4YjNmMTMifQ=="/>
  </w:docVars>
  <w:rsids>
    <w:rsidRoot w:val="19270F14"/>
    <w:rsid w:val="192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2024-04-17T07:14:00Z</dcterms:created>
  <dc:creator>W</dc:creator>
  <cp:lastModifiedBy>W</cp:lastModifiedBy>
  <dcterms:modified xsi:type="dcterms:W3CDTF">2024-04-17T07:20:11Z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63DD55183DD14A619B62F5CF6CB6B7CE_11</vt:lpwstr>
  </property>
</Properties>
</file>