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E7B47B">
      <w:pPr>
        <w:spacing w:line="720" w:lineRule="auto"/>
        <w:jc w:val="center"/>
        <w:rPr>
          <w:rFonts w:eastAsia="方正小标宋简体"/>
          <w:b/>
          <w:bCs/>
          <w:color w:val="auto"/>
          <w:kern w:val="0"/>
          <w:sz w:val="44"/>
          <w:szCs w:val="44"/>
        </w:rPr>
      </w:pPr>
    </w:p>
    <w:p w14:paraId="6BFF3C6F">
      <w:pPr>
        <w:spacing w:line="720" w:lineRule="auto"/>
        <w:jc w:val="center"/>
        <w:rPr>
          <w:rFonts w:eastAsia="方正小标宋简体"/>
          <w:b/>
          <w:bCs/>
          <w:color w:val="auto"/>
          <w:kern w:val="0"/>
          <w:sz w:val="44"/>
          <w:szCs w:val="44"/>
        </w:rPr>
      </w:pPr>
      <w:r>
        <w:rPr>
          <w:rFonts w:eastAsia="方正小标宋简体"/>
          <w:b/>
          <w:bCs/>
          <w:color w:val="auto"/>
          <w:kern w:val="0"/>
          <w:sz w:val="44"/>
          <w:szCs w:val="44"/>
        </w:rPr>
        <w:t>2023</w:t>
      </w:r>
      <w:r>
        <w:rPr>
          <w:rFonts w:hint="eastAsia" w:ascii="宋体" w:hAnsi="宋体" w:eastAsia="宋体" w:cs="宋体"/>
          <w:b/>
          <w:bCs/>
          <w:color w:val="auto"/>
          <w:kern w:val="0"/>
          <w:sz w:val="44"/>
          <w:szCs w:val="44"/>
        </w:rPr>
        <w:t>年度部门整体支出绩效</w:t>
      </w:r>
      <w:r>
        <w:rPr>
          <w:rFonts w:hint="eastAsia" w:ascii="宋体" w:hAnsi="宋体" w:eastAsia="宋体" w:cs="宋体"/>
          <w:b/>
          <w:bCs/>
          <w:color w:val="auto"/>
          <w:kern w:val="0"/>
          <w:sz w:val="44"/>
          <w:szCs w:val="44"/>
          <w:lang w:eastAsia="zh-CN"/>
        </w:rPr>
        <w:t>评价</w:t>
      </w:r>
      <w:r>
        <w:rPr>
          <w:rFonts w:hint="eastAsia" w:ascii="宋体" w:hAnsi="宋体" w:eastAsia="宋体" w:cs="宋体"/>
          <w:b/>
          <w:bCs/>
          <w:color w:val="auto"/>
          <w:kern w:val="0"/>
          <w:sz w:val="44"/>
          <w:szCs w:val="44"/>
        </w:rPr>
        <w:t>报告</w:t>
      </w:r>
    </w:p>
    <w:p w14:paraId="1EDE5623">
      <w:pPr>
        <w:spacing w:line="720" w:lineRule="auto"/>
        <w:jc w:val="center"/>
        <w:rPr>
          <w:rFonts w:eastAsia="楷体_GB2312"/>
          <w:b/>
          <w:bCs/>
          <w:color w:val="auto"/>
          <w:kern w:val="0"/>
        </w:rPr>
      </w:pPr>
      <w:r>
        <w:rPr>
          <w:rFonts w:ascii="楷体_GB2312" w:hAnsi="楷体_GB2312" w:eastAsia="楷体_GB2312"/>
          <w:b/>
          <w:bCs/>
          <w:color w:val="auto"/>
          <w:kern w:val="0"/>
        </w:rPr>
        <w:t>（</w:t>
      </w:r>
      <w:r>
        <w:rPr>
          <w:rFonts w:hint="eastAsia" w:ascii="楷体_GB2312" w:hAnsi="楷体_GB2312" w:eastAsia="楷体_GB2312"/>
          <w:b/>
          <w:bCs/>
          <w:color w:val="auto"/>
          <w:kern w:val="0"/>
          <w:lang w:eastAsia="zh-CN"/>
        </w:rPr>
        <w:t>桃江县住房和城乡建设局</w:t>
      </w:r>
      <w:r>
        <w:rPr>
          <w:rFonts w:hint="eastAsia" w:ascii="宋体" w:hAnsi="宋体" w:eastAsia="宋体" w:cs="宋体"/>
          <w:b/>
          <w:bCs/>
          <w:color w:val="auto"/>
          <w:kern w:val="0"/>
        </w:rPr>
        <w:t>）</w:t>
      </w:r>
    </w:p>
    <w:p w14:paraId="08E627D7">
      <w:pPr>
        <w:spacing w:line="720" w:lineRule="auto"/>
        <w:jc w:val="left"/>
        <w:rPr>
          <w:color w:val="auto"/>
          <w:kern w:val="0"/>
        </w:rPr>
      </w:pPr>
      <w:r>
        <w:rPr>
          <w:color w:val="auto"/>
          <w:kern w:val="0"/>
        </w:rPr>
        <w:t xml:space="preserve">   </w:t>
      </w:r>
    </w:p>
    <w:p w14:paraId="0C591E5C">
      <w:pPr>
        <w:spacing w:line="360" w:lineRule="auto"/>
        <w:ind w:firstLine="600" w:firstLineChars="200"/>
        <w:rPr>
          <w:rFonts w:hint="eastAsia" w:ascii="宋体" w:hAnsi="宋体" w:eastAsia="宋体" w:cs="宋体"/>
          <w:b/>
          <w:color w:val="000000" w:themeColor="text1"/>
          <w:sz w:val="30"/>
          <w:szCs w:val="30"/>
        </w:rPr>
      </w:pPr>
      <w:r>
        <w:rPr>
          <w:rFonts w:hint="eastAsia" w:ascii="宋体" w:hAnsi="宋体" w:eastAsia="宋体" w:cs="宋体"/>
          <w:color w:val="auto"/>
          <w:kern w:val="0"/>
          <w:sz w:val="30"/>
          <w:szCs w:val="30"/>
        </w:rPr>
        <w:t>为认真贯彻落实二十大报告精神，强化财政支出绩效理念和部门责任意识，规范财政资金管理，提高财政资金使用效益，根据中央和省级相关文件、《益阳市人民政府关于全面推进预算绩效管理的实施意见》（益政发【2013】10号）、《益阳市财政局关于转发〈湖南省预算绩效管理工作规程（试行）〉的通知》（益财绩〔2014〕126号）文件要求,按照《桃江县</w:t>
      </w:r>
      <w:r>
        <w:rPr>
          <w:rFonts w:hint="eastAsia" w:ascii="宋体" w:hAnsi="宋体" w:eastAsia="宋体" w:cs="宋体"/>
          <w:color w:val="auto"/>
          <w:kern w:val="0"/>
          <w:sz w:val="30"/>
          <w:szCs w:val="30"/>
          <w:highlight w:val="none"/>
        </w:rPr>
        <w:t>财政局关于开展</w:t>
      </w:r>
      <w:r>
        <w:rPr>
          <w:rFonts w:hint="eastAsia" w:ascii="宋体" w:hAnsi="宋体" w:eastAsia="宋体" w:cs="宋体"/>
          <w:color w:val="auto"/>
          <w:kern w:val="0"/>
          <w:sz w:val="30"/>
          <w:szCs w:val="30"/>
          <w:highlight w:val="none"/>
          <w:lang w:eastAsia="zh-CN"/>
        </w:rPr>
        <w:t>2023年</w:t>
      </w:r>
      <w:r>
        <w:rPr>
          <w:rFonts w:hint="eastAsia" w:ascii="宋体" w:hAnsi="宋体" w:eastAsia="宋体" w:cs="宋体"/>
          <w:color w:val="auto"/>
          <w:kern w:val="0"/>
          <w:sz w:val="30"/>
          <w:szCs w:val="30"/>
          <w:highlight w:val="none"/>
        </w:rPr>
        <w:t>度财政资金绩效自评工作的通知》（桃财监〔202</w:t>
      </w:r>
      <w:r>
        <w:rPr>
          <w:rFonts w:hint="eastAsia" w:ascii="宋体" w:hAnsi="宋体" w:eastAsia="宋体" w:cs="宋体"/>
          <w:color w:val="auto"/>
          <w:kern w:val="0"/>
          <w:sz w:val="30"/>
          <w:szCs w:val="30"/>
          <w:highlight w:val="none"/>
          <w:lang w:val="en-US" w:eastAsia="zh-CN"/>
        </w:rPr>
        <w:t>4</w:t>
      </w:r>
      <w:r>
        <w:rPr>
          <w:rFonts w:hint="eastAsia" w:ascii="宋体" w:hAnsi="宋体" w:eastAsia="宋体" w:cs="宋体"/>
          <w:color w:val="auto"/>
          <w:kern w:val="0"/>
          <w:sz w:val="30"/>
          <w:szCs w:val="30"/>
          <w:highlight w:val="none"/>
        </w:rPr>
        <w:t>〕</w:t>
      </w:r>
      <w:r>
        <w:rPr>
          <w:rFonts w:hint="eastAsia" w:ascii="宋体" w:hAnsi="宋体" w:eastAsia="宋体" w:cs="宋体"/>
          <w:color w:val="auto"/>
          <w:kern w:val="0"/>
          <w:sz w:val="30"/>
          <w:szCs w:val="30"/>
          <w:highlight w:val="none"/>
          <w:lang w:val="en-US" w:eastAsia="zh-CN"/>
        </w:rPr>
        <w:t>51</w:t>
      </w:r>
      <w:r>
        <w:rPr>
          <w:rFonts w:hint="eastAsia" w:ascii="宋体" w:hAnsi="宋体" w:eastAsia="宋体" w:cs="宋体"/>
          <w:color w:val="auto"/>
          <w:kern w:val="0"/>
          <w:sz w:val="30"/>
          <w:szCs w:val="30"/>
          <w:highlight w:val="none"/>
        </w:rPr>
        <w:t>号</w:t>
      </w:r>
      <w:r>
        <w:rPr>
          <w:rFonts w:hint="eastAsia" w:ascii="宋体" w:hAnsi="宋体" w:eastAsia="宋体" w:cs="宋体"/>
          <w:color w:val="auto"/>
          <w:kern w:val="0"/>
          <w:sz w:val="30"/>
          <w:szCs w:val="30"/>
        </w:rPr>
        <w:t>）等文件精神和工作要求，我局进行了202</w:t>
      </w:r>
      <w:r>
        <w:rPr>
          <w:rFonts w:hint="eastAsia" w:ascii="宋体" w:hAnsi="宋体" w:eastAsia="宋体" w:cs="宋体"/>
          <w:color w:val="auto"/>
          <w:kern w:val="0"/>
          <w:sz w:val="30"/>
          <w:szCs w:val="30"/>
          <w:lang w:val="en-US" w:eastAsia="zh-CN"/>
        </w:rPr>
        <w:t>3</w:t>
      </w:r>
      <w:r>
        <w:rPr>
          <w:rFonts w:hint="eastAsia" w:ascii="宋体" w:hAnsi="宋体" w:eastAsia="宋体" w:cs="宋体"/>
          <w:color w:val="auto"/>
          <w:kern w:val="0"/>
          <w:sz w:val="30"/>
          <w:szCs w:val="30"/>
        </w:rPr>
        <w:t>年度部门整体支出绩效自评评价工作，202</w:t>
      </w:r>
      <w:r>
        <w:rPr>
          <w:rFonts w:hint="eastAsia" w:ascii="宋体" w:hAnsi="宋体" w:eastAsia="宋体" w:cs="宋体"/>
          <w:color w:val="auto"/>
          <w:kern w:val="0"/>
          <w:sz w:val="30"/>
          <w:szCs w:val="30"/>
          <w:lang w:val="en-US" w:eastAsia="zh-CN"/>
        </w:rPr>
        <w:t>3</w:t>
      </w:r>
      <w:r>
        <w:rPr>
          <w:rFonts w:hint="eastAsia" w:ascii="宋体" w:hAnsi="宋体" w:eastAsia="宋体" w:cs="宋体"/>
          <w:color w:val="auto"/>
          <w:kern w:val="0"/>
          <w:sz w:val="30"/>
          <w:szCs w:val="30"/>
        </w:rPr>
        <w:t>年我局各项</w:t>
      </w:r>
      <w:r>
        <w:rPr>
          <w:rFonts w:hint="eastAsia" w:ascii="宋体" w:hAnsi="宋体" w:eastAsia="宋体" w:cs="宋体"/>
          <w:color w:val="auto"/>
          <w:sz w:val="30"/>
          <w:szCs w:val="30"/>
        </w:rPr>
        <w:t>保障服务职能履职到位，各项工作目标任务圆满完成,取得效益明显，</w:t>
      </w:r>
      <w:r>
        <w:rPr>
          <w:rFonts w:hint="eastAsia" w:ascii="宋体" w:hAnsi="宋体" w:eastAsia="宋体" w:cs="宋体"/>
          <w:b/>
          <w:bCs/>
          <w:color w:val="auto"/>
          <w:sz w:val="30"/>
          <w:szCs w:val="30"/>
        </w:rPr>
        <w:t>绩效自评等级为优秀</w:t>
      </w:r>
      <w:r>
        <w:rPr>
          <w:rFonts w:hint="eastAsia" w:ascii="宋体" w:hAnsi="宋体" w:eastAsia="宋体" w:cs="宋体"/>
          <w:b/>
          <w:bCs/>
          <w:color w:val="000000" w:themeColor="text1"/>
          <w:sz w:val="30"/>
          <w:szCs w:val="30"/>
        </w:rPr>
        <w:t>，</w:t>
      </w:r>
      <w:r>
        <w:rPr>
          <w:rFonts w:hint="eastAsia" w:ascii="宋体" w:hAnsi="宋体" w:eastAsia="宋体" w:cs="宋体"/>
          <w:b/>
          <w:bCs/>
          <w:color w:val="000000" w:themeColor="text1"/>
          <w:sz w:val="30"/>
          <w:szCs w:val="30"/>
          <w:highlight w:val="none"/>
        </w:rPr>
        <w:t>绩效</w:t>
      </w:r>
      <w:r>
        <w:rPr>
          <w:rFonts w:hint="eastAsia" w:ascii="宋体" w:hAnsi="宋体" w:eastAsia="宋体" w:cs="宋体"/>
          <w:b/>
          <w:bCs/>
          <w:color w:val="000000" w:themeColor="text1"/>
          <w:kern w:val="0"/>
          <w:sz w:val="30"/>
          <w:szCs w:val="30"/>
          <w:highlight w:val="none"/>
        </w:rPr>
        <w:t>自评分</w:t>
      </w:r>
      <w:r>
        <w:rPr>
          <w:rFonts w:hint="eastAsia" w:ascii="宋体" w:hAnsi="宋体" w:eastAsia="宋体" w:cs="宋体"/>
          <w:b/>
          <w:bCs/>
          <w:color w:val="000000" w:themeColor="text1"/>
          <w:kern w:val="0"/>
          <w:sz w:val="30"/>
          <w:szCs w:val="30"/>
          <w:highlight w:val="none"/>
          <w:lang w:eastAsia="zh-CN"/>
        </w:rPr>
        <w:t>100分</w:t>
      </w:r>
      <w:r>
        <w:rPr>
          <w:rFonts w:hint="eastAsia" w:ascii="宋体" w:hAnsi="宋体" w:eastAsia="宋体" w:cs="宋体"/>
          <w:b/>
          <w:bCs/>
          <w:color w:val="000000" w:themeColor="text1"/>
          <w:kern w:val="0"/>
          <w:sz w:val="30"/>
          <w:szCs w:val="30"/>
          <w:highlight w:val="none"/>
        </w:rPr>
        <w:t>。</w:t>
      </w:r>
      <w:r>
        <w:rPr>
          <w:rFonts w:hint="eastAsia" w:ascii="宋体" w:hAnsi="宋体" w:eastAsia="宋体" w:cs="宋体"/>
          <w:color w:val="000000" w:themeColor="text1"/>
          <w:kern w:val="0"/>
          <w:sz w:val="30"/>
          <w:szCs w:val="30"/>
          <w:highlight w:val="none"/>
        </w:rPr>
        <w:t>现将</w:t>
      </w:r>
      <w:r>
        <w:rPr>
          <w:rFonts w:hint="eastAsia" w:ascii="宋体" w:hAnsi="宋体" w:eastAsia="宋体" w:cs="宋体"/>
          <w:color w:val="000000" w:themeColor="text1"/>
          <w:kern w:val="0"/>
          <w:sz w:val="30"/>
          <w:szCs w:val="30"/>
        </w:rPr>
        <w:t>部门整体支出绩效评价情况报告如下：</w:t>
      </w:r>
    </w:p>
    <w:p w14:paraId="48CA9F1B">
      <w:pPr>
        <w:spacing w:line="360" w:lineRule="auto"/>
        <w:ind w:firstLine="600" w:firstLineChars="200"/>
        <w:rPr>
          <w:rFonts w:hint="eastAsia" w:ascii="宋体" w:hAnsi="宋体" w:eastAsia="宋体" w:cs="宋体"/>
          <w:color w:val="000000" w:themeColor="text1"/>
          <w:kern w:val="0"/>
          <w:sz w:val="30"/>
          <w:szCs w:val="30"/>
          <w:highlight w:val="none"/>
        </w:rPr>
      </w:pPr>
      <w:r>
        <w:rPr>
          <w:rFonts w:hint="eastAsia" w:ascii="宋体" w:hAnsi="宋体" w:eastAsia="宋体" w:cs="宋体"/>
          <w:bCs/>
          <w:color w:val="000000" w:themeColor="text1"/>
          <w:kern w:val="0"/>
          <w:sz w:val="30"/>
          <w:szCs w:val="30"/>
          <w:highlight w:val="none"/>
        </w:rPr>
        <w:t xml:space="preserve"> 一、部门概况</w:t>
      </w:r>
    </w:p>
    <w:p w14:paraId="0C003F3D">
      <w:pPr>
        <w:spacing w:line="360" w:lineRule="auto"/>
        <w:ind w:firstLine="602" w:firstLineChars="200"/>
        <w:rPr>
          <w:rFonts w:hint="eastAsia" w:ascii="宋体" w:hAnsi="宋体" w:eastAsia="宋体" w:cs="宋体"/>
          <w:b/>
          <w:bCs/>
          <w:color w:val="000000" w:themeColor="text1"/>
          <w:kern w:val="0"/>
          <w:sz w:val="30"/>
          <w:szCs w:val="30"/>
          <w:highlight w:val="none"/>
        </w:rPr>
      </w:pPr>
      <w:r>
        <w:rPr>
          <w:rFonts w:hint="eastAsia" w:ascii="宋体" w:hAnsi="宋体" w:eastAsia="宋体" w:cs="宋体"/>
          <w:b/>
          <w:bCs/>
          <w:color w:val="000000" w:themeColor="text1"/>
          <w:kern w:val="0"/>
          <w:sz w:val="30"/>
          <w:szCs w:val="30"/>
          <w:highlight w:val="none"/>
        </w:rPr>
        <w:t>（一）部门基本情况</w:t>
      </w:r>
    </w:p>
    <w:p w14:paraId="6BA1039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0" w:firstLineChars="200"/>
        <w:textAlignment w:val="auto"/>
        <w:outlineLvl w:val="9"/>
        <w:rPr>
          <w:rFonts w:hint="eastAsia" w:ascii="宋体" w:hAnsi="宋体" w:eastAsia="宋体" w:cs="宋体"/>
          <w:bCs/>
          <w:color w:val="000000" w:themeColor="text1"/>
          <w:sz w:val="30"/>
          <w:szCs w:val="30"/>
          <w:highlight w:val="none"/>
          <w:lang w:val="en-US" w:eastAsia="zh-CN"/>
        </w:rPr>
      </w:pPr>
      <w:r>
        <w:rPr>
          <w:rFonts w:hint="eastAsia" w:ascii="宋体" w:hAnsi="宋体" w:eastAsia="宋体" w:cs="宋体"/>
          <w:bCs/>
          <w:color w:val="000000" w:themeColor="text1"/>
          <w:sz w:val="30"/>
          <w:szCs w:val="30"/>
          <w:highlight w:val="none"/>
          <w:lang w:eastAsia="zh-CN"/>
        </w:rPr>
        <w:t>桃江县住房和城乡建设局是国家行政机关，统一社会信用代码：</w:t>
      </w:r>
      <w:r>
        <w:rPr>
          <w:rFonts w:hint="eastAsia" w:ascii="宋体" w:hAnsi="宋体" w:eastAsia="宋体" w:cs="宋体"/>
          <w:bCs/>
          <w:color w:val="000000" w:themeColor="text1"/>
          <w:sz w:val="30"/>
          <w:szCs w:val="30"/>
          <w:highlight w:val="none"/>
          <w:lang w:val="en-US" w:eastAsia="zh-CN"/>
        </w:rPr>
        <w:t>11430922006490629J,机构地址：桃江县桃花江镇芙蓉东路与天子山路交汇处，负责人：颜克强，</w:t>
      </w:r>
    </w:p>
    <w:p w14:paraId="1ACF46F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2" w:firstLineChars="200"/>
        <w:textAlignment w:val="auto"/>
        <w:outlineLvl w:val="9"/>
        <w:rPr>
          <w:rFonts w:hint="eastAsia" w:ascii="宋体" w:hAnsi="宋体" w:eastAsia="宋体" w:cs="宋体"/>
          <w:b/>
          <w:bCs w:val="0"/>
          <w:color w:val="000000" w:themeColor="text1"/>
          <w:sz w:val="30"/>
          <w:szCs w:val="30"/>
          <w:highlight w:val="none"/>
          <w:lang w:eastAsia="zh-CN"/>
        </w:rPr>
      </w:pPr>
      <w:r>
        <w:rPr>
          <w:rFonts w:hint="eastAsia" w:ascii="宋体" w:hAnsi="宋体" w:eastAsia="宋体" w:cs="宋体"/>
          <w:b/>
          <w:bCs w:val="0"/>
          <w:color w:val="000000" w:themeColor="text1"/>
          <w:sz w:val="30"/>
          <w:szCs w:val="30"/>
          <w:highlight w:val="none"/>
          <w:lang w:eastAsia="zh-CN"/>
        </w:rPr>
        <w:t>（</w:t>
      </w:r>
      <w:r>
        <w:rPr>
          <w:rFonts w:hint="eastAsia" w:ascii="宋体" w:hAnsi="宋体" w:eastAsia="宋体" w:cs="宋体"/>
          <w:b/>
          <w:bCs w:val="0"/>
          <w:color w:val="000000" w:themeColor="text1"/>
          <w:sz w:val="30"/>
          <w:szCs w:val="30"/>
          <w:highlight w:val="none"/>
          <w:lang w:val="en-US" w:eastAsia="zh-CN"/>
        </w:rPr>
        <w:t>1</w:t>
      </w:r>
      <w:r>
        <w:rPr>
          <w:rFonts w:hint="eastAsia" w:ascii="宋体" w:hAnsi="宋体" w:eastAsia="宋体" w:cs="宋体"/>
          <w:b/>
          <w:bCs w:val="0"/>
          <w:color w:val="000000" w:themeColor="text1"/>
          <w:sz w:val="30"/>
          <w:szCs w:val="30"/>
          <w:highlight w:val="none"/>
          <w:lang w:eastAsia="zh-CN"/>
        </w:rPr>
        <w:t>）机构设置情况</w:t>
      </w:r>
    </w:p>
    <w:p w14:paraId="7B8ECAC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0" w:firstLineChars="200"/>
        <w:textAlignment w:val="auto"/>
        <w:outlineLvl w:val="9"/>
        <w:rPr>
          <w:rFonts w:hint="eastAsia" w:ascii="宋体" w:hAnsi="宋体" w:eastAsia="宋体" w:cs="宋体"/>
          <w:bCs/>
          <w:color w:val="auto"/>
          <w:sz w:val="30"/>
          <w:szCs w:val="30"/>
          <w:highlight w:val="none"/>
          <w:lang w:eastAsia="zh-CN"/>
        </w:rPr>
      </w:pPr>
      <w:bookmarkStart w:id="0" w:name="_GoBack"/>
      <w:r>
        <w:rPr>
          <w:rFonts w:hint="eastAsia" w:ascii="宋体" w:hAnsi="宋体" w:eastAsia="宋体" w:cs="宋体"/>
          <w:bCs/>
          <w:color w:val="000000" w:themeColor="text1"/>
          <w:sz w:val="30"/>
          <w:szCs w:val="30"/>
          <w:highlight w:val="none"/>
          <w:lang w:eastAsia="zh-CN"/>
        </w:rPr>
        <w:t>内设(1)办公室、人事教</w:t>
      </w:r>
      <w:r>
        <w:rPr>
          <w:rFonts w:hint="eastAsia" w:ascii="宋体" w:hAnsi="宋体" w:eastAsia="宋体" w:cs="宋体"/>
          <w:bCs/>
          <w:color w:val="auto"/>
          <w:sz w:val="30"/>
          <w:szCs w:val="30"/>
          <w:highlight w:val="none"/>
          <w:lang w:eastAsia="zh-CN"/>
        </w:rPr>
        <w:t>育股、计划财务股。、政策法规股、政务服务股、工程建设股、村镇建设股、建设工程招投标管理办公室、建筑业管理股、质量安全股、科技设计股、房地产管理股、住房保障股、物业管理股</w:t>
      </w:r>
      <w:r>
        <w:rPr>
          <w:rFonts w:hint="eastAsia" w:ascii="宋体" w:hAnsi="宋体" w:eastAsia="宋体" w:cs="宋体"/>
          <w:bCs/>
          <w:color w:val="auto"/>
          <w:sz w:val="30"/>
          <w:szCs w:val="30"/>
          <w:highlight w:val="none"/>
          <w:lang w:val="en-US" w:eastAsia="zh-CN"/>
        </w:rPr>
        <w:t>14个</w:t>
      </w:r>
      <w:r>
        <w:rPr>
          <w:rFonts w:hint="eastAsia" w:ascii="宋体" w:hAnsi="宋体" w:eastAsia="宋体" w:cs="宋体"/>
          <w:bCs/>
          <w:color w:val="auto"/>
          <w:sz w:val="30"/>
          <w:szCs w:val="30"/>
          <w:highlight w:val="none"/>
          <w:lang w:eastAsia="zh-CN"/>
        </w:rPr>
        <w:t>股室</w:t>
      </w:r>
      <w:bookmarkEnd w:id="0"/>
      <w:r>
        <w:rPr>
          <w:rFonts w:hint="eastAsia" w:ascii="宋体" w:hAnsi="宋体" w:eastAsia="宋体" w:cs="宋体"/>
          <w:bCs/>
          <w:color w:val="auto"/>
          <w:sz w:val="30"/>
          <w:szCs w:val="30"/>
          <w:highlight w:val="none"/>
          <w:lang w:eastAsia="zh-CN"/>
        </w:rPr>
        <w:t>。下辖县建设工程质量安全监督站、县建筑施工企业管理站（桃江县建设工程交易中心）、县城建档案馆、县燃气管理站、县住房保障服务中心、县市政重点工程建设管理中心、县白蚁防治管理所、县物业管理所（桃江县住宅专项维修资金管理中心）、县房屋交易中心（桃江县房地产信息中心）</w:t>
      </w:r>
      <w:r>
        <w:rPr>
          <w:rFonts w:hint="eastAsia" w:ascii="宋体" w:hAnsi="宋体" w:eastAsia="宋体" w:cs="宋体"/>
          <w:bCs/>
          <w:color w:val="auto"/>
          <w:sz w:val="30"/>
          <w:szCs w:val="30"/>
          <w:highlight w:val="none"/>
          <w:lang w:val="en-US" w:eastAsia="zh-CN"/>
        </w:rPr>
        <w:t>10</w:t>
      </w:r>
      <w:r>
        <w:rPr>
          <w:rFonts w:hint="eastAsia" w:ascii="宋体" w:hAnsi="宋体" w:eastAsia="宋体" w:cs="宋体"/>
          <w:bCs/>
          <w:color w:val="auto"/>
          <w:sz w:val="30"/>
          <w:szCs w:val="30"/>
          <w:highlight w:val="none"/>
          <w:lang w:eastAsia="zh-CN"/>
        </w:rPr>
        <w:t>个二级机构。</w:t>
      </w:r>
    </w:p>
    <w:p w14:paraId="7BE2E94C">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602" w:firstLineChars="200"/>
        <w:textAlignment w:val="auto"/>
        <w:outlineLvl w:val="9"/>
        <w:rPr>
          <w:rFonts w:hint="eastAsia" w:ascii="宋体" w:hAnsi="宋体" w:eastAsia="宋体" w:cs="宋体"/>
          <w:b/>
          <w:bCs w:val="0"/>
          <w:color w:val="000000" w:themeColor="text1"/>
          <w:sz w:val="30"/>
          <w:szCs w:val="30"/>
          <w:highlight w:val="none"/>
          <w:lang w:eastAsia="zh-CN"/>
        </w:rPr>
      </w:pPr>
      <w:r>
        <w:rPr>
          <w:rFonts w:hint="eastAsia" w:ascii="宋体" w:hAnsi="宋体" w:eastAsia="宋体" w:cs="宋体"/>
          <w:b/>
          <w:bCs w:val="0"/>
          <w:color w:val="000000" w:themeColor="text1"/>
          <w:sz w:val="30"/>
          <w:szCs w:val="30"/>
          <w:highlight w:val="none"/>
          <w:lang w:eastAsia="zh-CN"/>
        </w:rPr>
        <w:t>人员编制情况</w:t>
      </w:r>
    </w:p>
    <w:p w14:paraId="5CFC303D">
      <w:pPr>
        <w:keepNext w:val="0"/>
        <w:keepLines w:val="0"/>
        <w:pageBreakBefore w:val="0"/>
        <w:kinsoku/>
        <w:wordWrap/>
        <w:overflowPunct/>
        <w:topLinePunct w:val="0"/>
        <w:autoSpaceDE/>
        <w:autoSpaceDN/>
        <w:bidi w:val="0"/>
        <w:adjustRightInd/>
        <w:snapToGrid/>
        <w:spacing w:line="360" w:lineRule="auto"/>
        <w:ind w:left="0" w:leftChars="0" w:right="0" w:rightChars="0" w:firstLine="600" w:firstLineChars="200"/>
        <w:textAlignment w:val="auto"/>
        <w:outlineLvl w:val="9"/>
        <w:rPr>
          <w:rFonts w:hint="eastAsia" w:ascii="宋体" w:hAnsi="宋体" w:eastAsia="宋体" w:cs="宋体"/>
          <w:bCs/>
          <w:color w:val="000000" w:themeColor="text1"/>
          <w:sz w:val="30"/>
          <w:szCs w:val="30"/>
          <w:highlight w:val="none"/>
          <w:lang w:eastAsia="zh-CN"/>
        </w:rPr>
      </w:pPr>
      <w:r>
        <w:rPr>
          <w:rFonts w:hint="eastAsia" w:ascii="宋体" w:hAnsi="宋体" w:eastAsia="宋体" w:cs="宋体"/>
          <w:bCs/>
          <w:color w:val="000000" w:themeColor="text1"/>
          <w:sz w:val="30"/>
          <w:szCs w:val="30"/>
          <w:highlight w:val="none"/>
          <w:lang w:eastAsia="zh-CN"/>
        </w:rPr>
        <w:t>全局共有在编人员</w:t>
      </w:r>
      <w:r>
        <w:rPr>
          <w:rFonts w:hint="eastAsia" w:ascii="宋体" w:hAnsi="宋体" w:eastAsia="宋体" w:cs="宋体"/>
          <w:bCs/>
          <w:color w:val="000000" w:themeColor="text1"/>
          <w:sz w:val="30"/>
          <w:szCs w:val="30"/>
          <w:highlight w:val="none"/>
          <w:lang w:val="en-US" w:eastAsia="zh-CN"/>
        </w:rPr>
        <w:t>115</w:t>
      </w:r>
      <w:r>
        <w:rPr>
          <w:rFonts w:hint="eastAsia" w:ascii="宋体" w:hAnsi="宋体" w:eastAsia="宋体" w:cs="宋体"/>
          <w:bCs/>
          <w:color w:val="000000" w:themeColor="text1"/>
          <w:sz w:val="30"/>
          <w:szCs w:val="30"/>
          <w:highlight w:val="none"/>
          <w:lang w:eastAsia="zh-CN"/>
        </w:rPr>
        <w:t>人，分全额、差额预算及自收自支事业编制三种机构人员。其中：①全额预算单位人员56人（包括局机关17人、县市管中心6人、县质安监站23人、县燃气管理站5人、县城建档案馆5人）；②差额预算单位人员10人，为县企管站10人（财政全额保障，但职业年金单位部分须垫资按月缴纳）；③自收自支事业编制人员49人（包括县物业管理所11人、县房屋交易中心30人、县白蚁防治所8人）。</w:t>
      </w:r>
    </w:p>
    <w:p w14:paraId="6CEA50F3">
      <w:pPr>
        <w:keepNext w:val="0"/>
        <w:keepLines w:val="0"/>
        <w:pageBreakBefore w:val="0"/>
        <w:kinsoku/>
        <w:wordWrap/>
        <w:overflowPunct/>
        <w:topLinePunct w:val="0"/>
        <w:autoSpaceDE/>
        <w:autoSpaceDN/>
        <w:bidi w:val="0"/>
        <w:adjustRightInd/>
        <w:snapToGrid/>
        <w:spacing w:line="360" w:lineRule="auto"/>
        <w:ind w:left="0" w:leftChars="0" w:right="0" w:rightChars="0" w:firstLine="602" w:firstLineChars="200"/>
        <w:textAlignment w:val="auto"/>
        <w:outlineLvl w:val="9"/>
        <w:rPr>
          <w:rFonts w:hint="eastAsia" w:ascii="宋体" w:hAnsi="宋体" w:eastAsia="宋体" w:cs="宋体"/>
          <w:b/>
          <w:bCs w:val="0"/>
          <w:color w:val="000000" w:themeColor="text1"/>
          <w:sz w:val="30"/>
          <w:szCs w:val="30"/>
          <w:highlight w:val="none"/>
          <w:lang w:eastAsia="zh-CN"/>
        </w:rPr>
      </w:pPr>
      <w:r>
        <w:rPr>
          <w:rFonts w:hint="eastAsia" w:ascii="宋体" w:hAnsi="宋体" w:eastAsia="宋体" w:cs="宋体"/>
          <w:b/>
          <w:bCs w:val="0"/>
          <w:color w:val="000000" w:themeColor="text1"/>
          <w:sz w:val="30"/>
          <w:szCs w:val="30"/>
          <w:highlight w:val="none"/>
          <w:lang w:eastAsia="zh-CN"/>
        </w:rPr>
        <w:t>（</w:t>
      </w:r>
      <w:r>
        <w:rPr>
          <w:rFonts w:hint="eastAsia" w:ascii="宋体" w:hAnsi="宋体" w:eastAsia="宋体" w:cs="宋体"/>
          <w:b/>
          <w:bCs w:val="0"/>
          <w:color w:val="000000" w:themeColor="text1"/>
          <w:sz w:val="30"/>
          <w:szCs w:val="30"/>
          <w:highlight w:val="none"/>
          <w:lang w:val="en-US" w:eastAsia="zh-CN"/>
        </w:rPr>
        <w:t>3</w:t>
      </w:r>
      <w:r>
        <w:rPr>
          <w:rFonts w:hint="eastAsia" w:ascii="宋体" w:hAnsi="宋体" w:eastAsia="宋体" w:cs="宋体"/>
          <w:b/>
          <w:bCs w:val="0"/>
          <w:color w:val="000000" w:themeColor="text1"/>
          <w:sz w:val="30"/>
          <w:szCs w:val="30"/>
          <w:highlight w:val="none"/>
          <w:lang w:eastAsia="zh-CN"/>
        </w:rPr>
        <w:t>）主要职责（绩效总目标）</w:t>
      </w:r>
    </w:p>
    <w:p w14:paraId="5CDA791D">
      <w:pPr>
        <w:spacing w:line="360" w:lineRule="auto"/>
        <w:ind w:firstLine="300" w:firstLineChars="100"/>
        <w:rPr>
          <w:rFonts w:hint="eastAsia" w:ascii="宋体" w:hAnsi="宋体" w:eastAsia="宋体" w:cs="宋体"/>
          <w:bCs/>
          <w:color w:val="auto"/>
          <w:sz w:val="30"/>
          <w:szCs w:val="30"/>
          <w:highlight w:val="none"/>
          <w:lang w:val="en-US" w:eastAsia="zh-CN"/>
        </w:rPr>
      </w:pPr>
      <w:r>
        <w:rPr>
          <w:rFonts w:hint="eastAsia" w:ascii="宋体" w:hAnsi="宋体" w:eastAsia="宋体" w:cs="宋体"/>
          <w:bCs/>
          <w:color w:val="auto"/>
          <w:sz w:val="30"/>
          <w:szCs w:val="30"/>
          <w:highlight w:val="none"/>
          <w:lang w:val="en-US" w:eastAsia="zh-CN"/>
        </w:rPr>
        <w:t>（1）贯彻执行住房保障、城乡建设、房地产管理工作的方针政策和法律法规，拟定相关政策、工作计划并组织实施；负责指导全县住房保障、城乡建设、房地产管理工作。</w:t>
      </w:r>
    </w:p>
    <w:p w14:paraId="34F8EAB7">
      <w:pPr>
        <w:spacing w:line="360" w:lineRule="auto"/>
        <w:ind w:firstLine="300" w:firstLineChars="100"/>
        <w:rPr>
          <w:rFonts w:hint="eastAsia" w:ascii="宋体" w:hAnsi="宋体" w:eastAsia="宋体" w:cs="宋体"/>
          <w:bCs/>
          <w:color w:val="auto"/>
          <w:sz w:val="30"/>
          <w:szCs w:val="30"/>
          <w:highlight w:val="none"/>
          <w:lang w:val="en-US" w:eastAsia="zh-CN"/>
        </w:rPr>
      </w:pPr>
      <w:r>
        <w:rPr>
          <w:rFonts w:hint="eastAsia" w:ascii="宋体" w:hAnsi="宋体" w:eastAsia="宋体" w:cs="宋体"/>
          <w:bCs/>
          <w:color w:val="auto"/>
          <w:sz w:val="30"/>
          <w:szCs w:val="30"/>
          <w:highlight w:val="none"/>
          <w:lang w:val="en-US" w:eastAsia="zh-CN"/>
        </w:rPr>
        <w:t>（2）负责县城规划区建设管理工作。负责编制城市基础设施建设年度计划并组织实施；负责供水供气、城乡生活污水和生活垃圾处理（以下简称“两供两治”）等公用事业管理和相关公用设施的建设；负责城市地下空间（含地下管线）建设的监督管理；负责全县燃气、城镇供排水、城镇污水处理等市政公用事业特许经营权的管理；负责县城规划区内城市建设档案管理。</w:t>
      </w:r>
    </w:p>
    <w:p w14:paraId="31C96C07">
      <w:pPr>
        <w:spacing w:line="360" w:lineRule="auto"/>
        <w:ind w:firstLine="300" w:firstLineChars="100"/>
        <w:rPr>
          <w:rFonts w:hint="eastAsia" w:ascii="宋体" w:hAnsi="宋体" w:eastAsia="宋体" w:cs="宋体"/>
          <w:bCs/>
          <w:color w:val="auto"/>
          <w:sz w:val="30"/>
          <w:szCs w:val="30"/>
          <w:highlight w:val="none"/>
          <w:lang w:val="en-US" w:eastAsia="zh-CN"/>
        </w:rPr>
      </w:pPr>
      <w:r>
        <w:rPr>
          <w:rFonts w:hint="eastAsia" w:ascii="宋体" w:hAnsi="宋体" w:eastAsia="宋体" w:cs="宋体"/>
          <w:bCs/>
          <w:color w:val="auto"/>
          <w:sz w:val="30"/>
          <w:szCs w:val="30"/>
          <w:highlight w:val="none"/>
          <w:lang w:val="en-US" w:eastAsia="zh-CN"/>
        </w:rPr>
        <w:t>（3）负责推进新型城镇化工作。拟订全县推进新型城镇化政策措施并指导督促实施；指导小城镇和村庄人居生态环境的改善工作，指导农村村民住房建设管理工作；指导和监督全县示范镇、重点镇、特色镇的建设和管理工作；负责农村危房改造工作。</w:t>
      </w:r>
    </w:p>
    <w:p w14:paraId="3841D9C4">
      <w:pPr>
        <w:spacing w:line="360" w:lineRule="auto"/>
        <w:ind w:firstLine="300" w:firstLineChars="100"/>
        <w:rPr>
          <w:rFonts w:hint="eastAsia" w:ascii="宋体" w:hAnsi="宋体" w:eastAsia="宋体" w:cs="宋体"/>
          <w:bCs/>
          <w:color w:val="auto"/>
          <w:sz w:val="30"/>
          <w:szCs w:val="30"/>
          <w:highlight w:val="none"/>
          <w:lang w:val="en-US" w:eastAsia="zh-CN"/>
        </w:rPr>
      </w:pPr>
      <w:r>
        <w:rPr>
          <w:rFonts w:hint="eastAsia" w:ascii="宋体" w:hAnsi="宋体" w:eastAsia="宋体" w:cs="宋体"/>
          <w:bCs/>
          <w:color w:val="auto"/>
          <w:sz w:val="30"/>
          <w:szCs w:val="30"/>
          <w:highlight w:val="none"/>
          <w:lang w:val="en-US" w:eastAsia="zh-CN"/>
        </w:rPr>
        <w:t>（4）负责建筑行业管理。拟订全县建筑行业发展规划并指导实施；监督建筑市场各方主体行为；负责全县建设工程报建“一站式”收费和施工许可管理工作；推动行业信用体系建设。依法监督管理房屋建筑和市政工程招投标活动；负责建筑业统计工作。</w:t>
      </w:r>
    </w:p>
    <w:p w14:paraId="2AF483D4">
      <w:pPr>
        <w:spacing w:line="360" w:lineRule="auto"/>
        <w:ind w:firstLine="300" w:firstLineChars="100"/>
        <w:rPr>
          <w:rFonts w:hint="eastAsia" w:ascii="宋体" w:hAnsi="宋体" w:eastAsia="宋体" w:cs="宋体"/>
          <w:bCs/>
          <w:color w:val="auto"/>
          <w:sz w:val="30"/>
          <w:szCs w:val="30"/>
          <w:highlight w:val="none"/>
          <w:lang w:val="en-US" w:eastAsia="zh-CN"/>
        </w:rPr>
      </w:pPr>
      <w:r>
        <w:rPr>
          <w:rFonts w:hint="eastAsia" w:ascii="宋体" w:hAnsi="宋体" w:eastAsia="宋体" w:cs="宋体"/>
          <w:bCs/>
          <w:color w:val="auto"/>
          <w:sz w:val="30"/>
          <w:szCs w:val="30"/>
          <w:highlight w:val="none"/>
          <w:lang w:val="en-US" w:eastAsia="zh-CN"/>
        </w:rPr>
        <w:t>（5）负责全县建设项目的勘察设计监督管理工作。负责全县建筑工程项目初步设计（含消防设计）评审和施工图设计（含消防设计）审查备案工作；负责城建档案及声像档案的收集、整理、立卷、归档保管和开发利用工作；监督指导各类房屋建筑和市政基础设施建设工程的抗震设防工作。</w:t>
      </w:r>
    </w:p>
    <w:p w14:paraId="4B5358E2">
      <w:pPr>
        <w:spacing w:line="360" w:lineRule="auto"/>
        <w:ind w:firstLine="300" w:firstLineChars="100"/>
        <w:rPr>
          <w:rFonts w:hint="eastAsia" w:ascii="宋体" w:hAnsi="宋体" w:eastAsia="宋体" w:cs="宋体"/>
          <w:bCs/>
          <w:color w:val="auto"/>
          <w:sz w:val="30"/>
          <w:szCs w:val="30"/>
          <w:highlight w:val="none"/>
          <w:lang w:val="en-US" w:eastAsia="zh-CN"/>
        </w:rPr>
      </w:pPr>
      <w:r>
        <w:rPr>
          <w:rFonts w:hint="eastAsia" w:ascii="宋体" w:hAnsi="宋体" w:eastAsia="宋体" w:cs="宋体"/>
          <w:bCs/>
          <w:color w:val="auto"/>
          <w:sz w:val="30"/>
          <w:szCs w:val="30"/>
          <w:highlight w:val="none"/>
          <w:lang w:val="en-US" w:eastAsia="zh-CN"/>
        </w:rPr>
        <w:t>（6）负责建设工程规范、标准、定额的贯彻执行和监督管理。组织贯彻执行工程建设的国家规范、标准、定额和相关管理制度，执行省发布的工程建设地方标准、工程建设工法、地方定额及其具体实施办法和管理规定；指导监督各类工程建设标准定额的实施和工程造价计价。</w:t>
      </w:r>
    </w:p>
    <w:p w14:paraId="0AB20D50">
      <w:pPr>
        <w:spacing w:line="360" w:lineRule="auto"/>
        <w:ind w:firstLine="300" w:firstLineChars="100"/>
        <w:rPr>
          <w:rFonts w:hint="eastAsia" w:ascii="宋体" w:hAnsi="宋体" w:eastAsia="宋体" w:cs="宋体"/>
          <w:bCs/>
          <w:color w:val="auto"/>
          <w:sz w:val="30"/>
          <w:szCs w:val="30"/>
          <w:highlight w:val="none"/>
          <w:lang w:val="en-US" w:eastAsia="zh-CN"/>
        </w:rPr>
      </w:pPr>
      <w:r>
        <w:rPr>
          <w:rFonts w:hint="eastAsia" w:ascii="宋体" w:hAnsi="宋体" w:eastAsia="宋体" w:cs="宋体"/>
          <w:bCs/>
          <w:color w:val="auto"/>
          <w:sz w:val="30"/>
          <w:szCs w:val="30"/>
          <w:highlight w:val="none"/>
          <w:lang w:val="en-US" w:eastAsia="zh-CN"/>
        </w:rPr>
        <w:t>（7）负责全县市政工程和房屋建筑质量安全监督管理。贯彻执行国家、省有关工程质量、安全生产和竣工验收（含消防验收）备案的政策和法律法规；负责全县房屋建筑和市政工程质量安全监管；负责相关的工程质量检测和联合验收工作。组织或参与建设工程重大质量、安全事故的调查处理。</w:t>
      </w:r>
    </w:p>
    <w:p w14:paraId="4CB7C489">
      <w:pPr>
        <w:spacing w:line="360" w:lineRule="auto"/>
        <w:ind w:firstLine="300" w:firstLineChars="100"/>
        <w:rPr>
          <w:rFonts w:hint="eastAsia" w:ascii="宋体" w:hAnsi="宋体" w:eastAsia="宋体" w:cs="宋体"/>
          <w:bCs/>
          <w:color w:val="auto"/>
          <w:sz w:val="30"/>
          <w:szCs w:val="30"/>
          <w:highlight w:val="none"/>
          <w:lang w:val="en-US" w:eastAsia="zh-CN"/>
        </w:rPr>
      </w:pPr>
      <w:r>
        <w:rPr>
          <w:rFonts w:hint="eastAsia" w:ascii="宋体" w:hAnsi="宋体" w:eastAsia="宋体" w:cs="宋体"/>
          <w:bCs/>
          <w:color w:val="auto"/>
          <w:sz w:val="30"/>
          <w:szCs w:val="30"/>
          <w:highlight w:val="none"/>
          <w:lang w:val="en-US" w:eastAsia="zh-CN"/>
        </w:rPr>
        <w:t>（8）负责推进建筑节能与建设科技进步工作。贯彻执行建筑节能政策，组织实施重大建筑节能项目；会同有关部门拟订建筑行业科技发展规划；负责组织重大行业科技成果的评审；指导建筑行业新材料、新工艺、新技术、新设备的引进、研发和推广应用；指导管理行业重大技术改进和创新。</w:t>
      </w:r>
    </w:p>
    <w:p w14:paraId="4C6BFC92">
      <w:pPr>
        <w:spacing w:line="360" w:lineRule="auto"/>
        <w:ind w:firstLine="300" w:firstLineChars="100"/>
        <w:rPr>
          <w:rFonts w:hint="eastAsia" w:ascii="宋体" w:hAnsi="宋体" w:eastAsia="宋体" w:cs="宋体"/>
          <w:bCs/>
          <w:color w:val="auto"/>
          <w:sz w:val="30"/>
          <w:szCs w:val="30"/>
          <w:highlight w:val="none"/>
          <w:lang w:val="en-US" w:eastAsia="zh-CN"/>
        </w:rPr>
      </w:pPr>
      <w:r>
        <w:rPr>
          <w:rFonts w:hint="eastAsia" w:ascii="宋体" w:hAnsi="宋体" w:eastAsia="宋体" w:cs="宋体"/>
          <w:bCs/>
          <w:color w:val="auto"/>
          <w:sz w:val="30"/>
          <w:szCs w:val="30"/>
          <w:highlight w:val="none"/>
          <w:lang w:val="en-US" w:eastAsia="zh-CN"/>
        </w:rPr>
        <w:t>（9）负责城市基础设施建设配套费、房屋测绘费、物业专项维修资金等行政事业征收费及其他专项资金的征收和管理；会同有关部门编制年度城市建设项目资金预算计划，指导监管各专项经费的使用。</w:t>
      </w:r>
    </w:p>
    <w:p w14:paraId="29C567B6">
      <w:pPr>
        <w:spacing w:line="360" w:lineRule="auto"/>
        <w:ind w:firstLine="300" w:firstLineChars="100"/>
        <w:rPr>
          <w:rFonts w:hint="eastAsia" w:ascii="宋体" w:hAnsi="宋体" w:eastAsia="宋体" w:cs="宋体"/>
          <w:bCs/>
          <w:color w:val="auto"/>
          <w:sz w:val="30"/>
          <w:szCs w:val="30"/>
          <w:highlight w:val="none"/>
          <w:lang w:val="en-US" w:eastAsia="zh-CN"/>
        </w:rPr>
      </w:pPr>
      <w:r>
        <w:rPr>
          <w:rFonts w:hint="eastAsia" w:ascii="宋体" w:hAnsi="宋体" w:eastAsia="宋体" w:cs="宋体"/>
          <w:bCs/>
          <w:color w:val="auto"/>
          <w:sz w:val="30"/>
          <w:szCs w:val="30"/>
          <w:highlight w:val="none"/>
          <w:lang w:val="en-US" w:eastAsia="zh-CN"/>
        </w:rPr>
        <w:t>（10）负责全县房地产业管理和住房保障工作。负责指导规范房地产市场秩序、监督管理房地产市场；会同有关部门组织拟订房地产市场监督政策措施并监督执行；负责拟订适合县情的住房制度改革政策措施和方案并组织实施；负责房地产开发的监督管理，负责开发项目审核，商品房销售管理；负责指导监督管理房地产价格评估、房地产中介服务机构的工作；负责指导监督房地产交易、房产测绘及成果运用。</w:t>
      </w:r>
    </w:p>
    <w:p w14:paraId="0A807D56">
      <w:pPr>
        <w:spacing w:line="360" w:lineRule="auto"/>
        <w:ind w:firstLine="300" w:firstLineChars="100"/>
        <w:rPr>
          <w:rFonts w:hint="eastAsia" w:ascii="宋体" w:hAnsi="宋体" w:eastAsia="宋体" w:cs="宋体"/>
          <w:bCs/>
          <w:color w:val="auto"/>
          <w:sz w:val="30"/>
          <w:szCs w:val="30"/>
          <w:highlight w:val="none"/>
          <w:lang w:val="en-US" w:eastAsia="zh-CN"/>
        </w:rPr>
      </w:pPr>
      <w:r>
        <w:rPr>
          <w:rFonts w:hint="eastAsia" w:ascii="宋体" w:hAnsi="宋体" w:eastAsia="宋体" w:cs="宋体"/>
          <w:bCs/>
          <w:color w:val="auto"/>
          <w:sz w:val="30"/>
          <w:szCs w:val="30"/>
          <w:highlight w:val="none"/>
          <w:lang w:val="en-US" w:eastAsia="zh-CN"/>
        </w:rPr>
        <w:t>（11）负责国有土地上房屋征收与补偿工作；负责城市房屋拆迁许可、拆迁单位资格认定和监管工作；负责房地产开发的监督管理，负责开发项目审核、商品房销售管理。</w:t>
      </w:r>
    </w:p>
    <w:p w14:paraId="375E4D26">
      <w:pPr>
        <w:spacing w:line="360" w:lineRule="auto"/>
        <w:ind w:firstLine="300" w:firstLineChars="100"/>
        <w:rPr>
          <w:rFonts w:hint="eastAsia" w:ascii="宋体" w:hAnsi="宋体" w:eastAsia="宋体" w:cs="宋体"/>
          <w:bCs/>
          <w:color w:val="auto"/>
          <w:sz w:val="30"/>
          <w:szCs w:val="30"/>
          <w:highlight w:val="none"/>
          <w:lang w:val="en-US" w:eastAsia="zh-CN"/>
        </w:rPr>
      </w:pPr>
      <w:r>
        <w:rPr>
          <w:rFonts w:hint="eastAsia" w:ascii="宋体" w:hAnsi="宋体" w:eastAsia="宋体" w:cs="宋体"/>
          <w:bCs/>
          <w:color w:val="auto"/>
          <w:sz w:val="30"/>
          <w:szCs w:val="30"/>
          <w:highlight w:val="none"/>
          <w:lang w:val="en-US" w:eastAsia="zh-CN"/>
        </w:rPr>
        <w:t>（12）负责指导监督全县物业管理工作。负责指导监督全县房屋共同部位、共用设施设备维修资金归集、使用和管理。</w:t>
      </w:r>
    </w:p>
    <w:p w14:paraId="6192A918">
      <w:pPr>
        <w:spacing w:line="360" w:lineRule="auto"/>
        <w:ind w:firstLine="300" w:firstLineChars="100"/>
        <w:rPr>
          <w:rFonts w:hint="eastAsia" w:ascii="宋体" w:hAnsi="宋体" w:eastAsia="宋体" w:cs="宋体"/>
          <w:bCs/>
          <w:color w:val="auto"/>
          <w:sz w:val="30"/>
          <w:szCs w:val="30"/>
          <w:highlight w:val="none"/>
          <w:lang w:val="en-US" w:eastAsia="zh-CN"/>
        </w:rPr>
      </w:pPr>
      <w:r>
        <w:rPr>
          <w:rFonts w:hint="eastAsia" w:ascii="宋体" w:hAnsi="宋体" w:eastAsia="宋体" w:cs="宋体"/>
          <w:bCs/>
          <w:color w:val="auto"/>
          <w:sz w:val="30"/>
          <w:szCs w:val="30"/>
          <w:highlight w:val="none"/>
          <w:lang w:val="en-US" w:eastAsia="zh-CN"/>
        </w:rPr>
        <w:t>（13）完成县委、县政府和县国防动员委员会交办的其他任务。</w:t>
      </w:r>
    </w:p>
    <w:p w14:paraId="25924121">
      <w:pPr>
        <w:spacing w:line="360" w:lineRule="auto"/>
        <w:ind w:firstLine="300" w:firstLineChars="100"/>
        <w:rPr>
          <w:rFonts w:hint="eastAsia" w:ascii="宋体" w:hAnsi="宋体" w:eastAsia="宋体" w:cs="宋体"/>
          <w:bCs/>
          <w:color w:val="auto"/>
          <w:sz w:val="30"/>
          <w:szCs w:val="30"/>
          <w:highlight w:val="none"/>
          <w:lang w:val="en-US" w:eastAsia="zh-CN"/>
        </w:rPr>
      </w:pPr>
      <w:r>
        <w:rPr>
          <w:rFonts w:hint="eastAsia" w:ascii="宋体" w:hAnsi="宋体" w:eastAsia="宋体" w:cs="宋体"/>
          <w:bCs/>
          <w:color w:val="auto"/>
          <w:sz w:val="30"/>
          <w:szCs w:val="30"/>
          <w:highlight w:val="none"/>
          <w:lang w:val="en-US" w:eastAsia="zh-CN"/>
        </w:rPr>
        <w:t>（14）职能转变。取消已由县人民政府公布取消的行政审批事项；划入原由公安消防部门承担的建设工程消防设计审查和竣工验收职责；划入原由县发改局承担的房屋建筑和市政工程建设招投标监督管理职责；划入原县房地产管理局、县建设工程质量安全监督站、县市政重点工程管理中心承担的行政职能；将城市规划编制和审批职责划入县自然资源局；将风景名胜区管理职责划入县林业局；将人民防空相关职能划入发改局。</w:t>
      </w:r>
    </w:p>
    <w:p w14:paraId="1ED4D99A">
      <w:pPr>
        <w:spacing w:line="360" w:lineRule="auto"/>
        <w:ind w:firstLine="301" w:firstLineChars="100"/>
        <w:rPr>
          <w:rFonts w:hint="eastAsia" w:ascii="宋体" w:hAnsi="宋体" w:eastAsia="宋体" w:cs="宋体"/>
          <w:b/>
          <w:bCs/>
          <w:color w:val="000000" w:themeColor="text1"/>
          <w:kern w:val="0"/>
          <w:sz w:val="30"/>
          <w:szCs w:val="30"/>
          <w:highlight w:val="none"/>
          <w:lang w:eastAsia="zh-CN"/>
        </w:rPr>
      </w:pPr>
      <w:r>
        <w:rPr>
          <w:rFonts w:hint="eastAsia" w:ascii="宋体" w:hAnsi="宋体" w:eastAsia="宋体" w:cs="宋体"/>
          <w:b/>
          <w:bCs/>
          <w:color w:val="000000" w:themeColor="text1"/>
          <w:kern w:val="0"/>
          <w:sz w:val="30"/>
          <w:szCs w:val="30"/>
          <w:lang w:eastAsia="zh-CN"/>
        </w:rPr>
        <w:t>（</w:t>
      </w:r>
      <w:r>
        <w:rPr>
          <w:rFonts w:hint="eastAsia" w:ascii="宋体" w:hAnsi="宋体" w:eastAsia="宋体" w:cs="宋体"/>
          <w:b/>
          <w:bCs/>
          <w:color w:val="000000" w:themeColor="text1"/>
          <w:kern w:val="0"/>
          <w:sz w:val="30"/>
          <w:szCs w:val="30"/>
          <w:highlight w:val="none"/>
          <w:lang w:val="en-US" w:eastAsia="zh-CN"/>
        </w:rPr>
        <w:t>4</w:t>
      </w:r>
      <w:r>
        <w:rPr>
          <w:rFonts w:hint="eastAsia" w:ascii="宋体" w:hAnsi="宋体" w:eastAsia="宋体" w:cs="宋体"/>
          <w:b/>
          <w:bCs/>
          <w:color w:val="000000" w:themeColor="text1"/>
          <w:kern w:val="0"/>
          <w:sz w:val="30"/>
          <w:szCs w:val="30"/>
          <w:highlight w:val="none"/>
          <w:lang w:eastAsia="zh-CN"/>
        </w:rPr>
        <w:t>）</w:t>
      </w:r>
      <w:r>
        <w:rPr>
          <w:rFonts w:hint="eastAsia" w:ascii="宋体" w:hAnsi="宋体" w:eastAsia="宋体" w:cs="宋体"/>
          <w:b/>
          <w:bCs/>
          <w:color w:val="000000" w:themeColor="text1"/>
          <w:kern w:val="0"/>
          <w:sz w:val="30"/>
          <w:szCs w:val="30"/>
          <w:highlight w:val="none"/>
          <w:lang w:val="en-US" w:eastAsia="zh-CN"/>
        </w:rPr>
        <w:t>2023年</w:t>
      </w:r>
      <w:r>
        <w:rPr>
          <w:rFonts w:hint="eastAsia" w:ascii="宋体" w:hAnsi="宋体" w:eastAsia="宋体" w:cs="宋体"/>
          <w:b/>
          <w:bCs/>
          <w:color w:val="000000" w:themeColor="text1"/>
          <w:kern w:val="0"/>
          <w:sz w:val="30"/>
          <w:szCs w:val="30"/>
          <w:highlight w:val="none"/>
        </w:rPr>
        <w:t>重点工作计划</w:t>
      </w:r>
    </w:p>
    <w:p w14:paraId="3E3F7231">
      <w:pPr>
        <w:spacing w:line="360" w:lineRule="auto"/>
        <w:ind w:firstLine="600" w:firstLineChars="200"/>
        <w:rPr>
          <w:rFonts w:hint="eastAsia" w:ascii="宋体" w:hAnsi="宋体" w:eastAsia="宋体" w:cs="宋体"/>
          <w:bCs/>
          <w:color w:val="auto"/>
          <w:sz w:val="30"/>
          <w:szCs w:val="30"/>
          <w:highlight w:val="none"/>
          <w:lang w:val="en-US" w:eastAsia="zh-CN"/>
        </w:rPr>
      </w:pPr>
      <w:r>
        <w:rPr>
          <w:rFonts w:hint="eastAsia" w:ascii="宋体" w:hAnsi="宋体" w:eastAsia="宋体" w:cs="宋体"/>
          <w:bCs/>
          <w:color w:val="000000" w:themeColor="text1"/>
          <w:sz w:val="30"/>
          <w:szCs w:val="30"/>
          <w:highlight w:val="none"/>
          <w:lang w:val="en-US" w:eastAsia="zh-CN"/>
        </w:rPr>
        <w:t>①提高城镇化水平（50%以上）；②完成11个老旧小区改造；③完成县城5个路段的排水管道进行雨污分流改造；④“保交楼” 政策落实；⑤完善供水供气基础设施；⑥加强居民自建房安全专项整治力度</w:t>
      </w:r>
      <w:r>
        <w:rPr>
          <w:rFonts w:hint="eastAsia" w:ascii="宋体" w:hAnsi="宋体" w:eastAsia="宋体" w:cs="宋体"/>
          <w:bCs/>
          <w:color w:val="auto"/>
          <w:sz w:val="30"/>
          <w:szCs w:val="30"/>
          <w:highlight w:val="none"/>
          <w:lang w:val="en-US" w:eastAsia="zh-CN"/>
        </w:rPr>
        <w:t>；⑦稳步推动农村危房改造；⑧有序推进装配式建筑；⑨优化营商环境，安全生产常抓不懈。</w:t>
      </w:r>
    </w:p>
    <w:p w14:paraId="0EE19717">
      <w:pPr>
        <w:spacing w:line="360" w:lineRule="auto"/>
        <w:ind w:firstLine="602" w:firstLineChars="200"/>
        <w:rPr>
          <w:rFonts w:hint="eastAsia" w:ascii="宋体" w:hAnsi="宋体" w:eastAsia="宋体" w:cs="宋体"/>
          <w:b/>
          <w:bCs/>
          <w:color w:val="000000" w:themeColor="text1"/>
          <w:kern w:val="0"/>
          <w:sz w:val="30"/>
          <w:szCs w:val="30"/>
        </w:rPr>
      </w:pPr>
      <w:r>
        <w:rPr>
          <w:rFonts w:hint="eastAsia" w:ascii="宋体" w:hAnsi="宋体" w:eastAsia="宋体" w:cs="宋体"/>
          <w:b/>
          <w:bCs/>
          <w:color w:val="000000" w:themeColor="text1"/>
          <w:kern w:val="0"/>
          <w:sz w:val="30"/>
          <w:szCs w:val="30"/>
        </w:rPr>
        <w:t>（二）部门整体支出规模、使用方向和主要内容、涉及范围等</w:t>
      </w:r>
    </w:p>
    <w:p w14:paraId="16D75D13">
      <w:pPr>
        <w:keepNext w:val="0"/>
        <w:keepLines w:val="0"/>
        <w:pageBreakBefore w:val="0"/>
        <w:widowControl w:val="0"/>
        <w:kinsoku/>
        <w:wordWrap w:val="0"/>
        <w:overflowPunct/>
        <w:topLinePunct w:val="0"/>
        <w:autoSpaceDE/>
        <w:autoSpaceDN/>
        <w:bidi w:val="0"/>
        <w:adjustRightInd/>
        <w:snapToGrid/>
        <w:spacing w:line="360" w:lineRule="auto"/>
        <w:ind w:firstLine="600" w:firstLineChars="200"/>
        <w:jc w:val="left"/>
        <w:textAlignment w:val="auto"/>
        <w:rPr>
          <w:rFonts w:ascii="宋体" w:hAnsi="宋体"/>
          <w:bCs/>
          <w:color w:val="auto"/>
          <w:sz w:val="28"/>
          <w:szCs w:val="28"/>
          <w:highlight w:val="none"/>
        </w:rPr>
      </w:pPr>
      <w:r>
        <w:rPr>
          <w:rFonts w:hint="eastAsia" w:ascii="宋体" w:hAnsi="宋体" w:eastAsia="宋体" w:cs="宋体"/>
          <w:color w:val="auto"/>
          <w:kern w:val="0"/>
          <w:sz w:val="30"/>
          <w:szCs w:val="30"/>
          <w:highlight w:val="none"/>
        </w:rPr>
        <w:t>根据财政部门年初预算及</w:t>
      </w:r>
      <w:r>
        <w:rPr>
          <w:rFonts w:hint="eastAsia" w:ascii="宋体" w:hAnsi="宋体" w:eastAsia="宋体" w:cs="宋体"/>
          <w:color w:val="auto"/>
          <w:kern w:val="0"/>
          <w:sz w:val="30"/>
          <w:szCs w:val="30"/>
          <w:highlight w:val="none"/>
          <w:lang w:eastAsia="zh-CN"/>
        </w:rPr>
        <w:t>2023年</w:t>
      </w:r>
      <w:r>
        <w:rPr>
          <w:rFonts w:hint="eastAsia" w:ascii="宋体" w:hAnsi="宋体" w:eastAsia="宋体" w:cs="宋体"/>
          <w:color w:val="auto"/>
          <w:kern w:val="0"/>
          <w:sz w:val="30"/>
          <w:szCs w:val="30"/>
          <w:highlight w:val="none"/>
        </w:rPr>
        <w:t>度后续下达的预算追加指标通知单的文件，</w:t>
      </w:r>
      <w:r>
        <w:rPr>
          <w:rFonts w:hint="eastAsia" w:ascii="宋体" w:hAnsi="宋体" w:eastAsia="宋体" w:cs="宋体"/>
          <w:color w:val="auto"/>
          <w:kern w:val="0"/>
          <w:sz w:val="30"/>
          <w:szCs w:val="30"/>
          <w:highlight w:val="none"/>
          <w:lang w:eastAsia="zh-CN"/>
        </w:rPr>
        <w:t>2023年</w:t>
      </w:r>
      <w:r>
        <w:rPr>
          <w:rFonts w:hint="eastAsia" w:ascii="宋体" w:hAnsi="宋体" w:eastAsia="宋体" w:cs="宋体"/>
          <w:color w:val="auto"/>
          <w:kern w:val="0"/>
          <w:sz w:val="30"/>
          <w:szCs w:val="30"/>
          <w:highlight w:val="none"/>
        </w:rPr>
        <w:t>度我局的财政预算收入</w:t>
      </w:r>
      <w:r>
        <w:rPr>
          <w:rFonts w:hint="eastAsia" w:ascii="宋体" w:hAnsi="宋体" w:eastAsia="宋体" w:cs="宋体"/>
          <w:color w:val="auto"/>
          <w:kern w:val="0"/>
          <w:sz w:val="30"/>
          <w:szCs w:val="30"/>
          <w:highlight w:val="none"/>
          <w:lang w:val="en-US" w:eastAsia="zh-CN"/>
        </w:rPr>
        <w:t>317,565,750.96</w:t>
      </w:r>
      <w:r>
        <w:rPr>
          <w:rFonts w:hint="eastAsia" w:ascii="宋体" w:hAnsi="宋体" w:eastAsia="宋体" w:cs="宋体"/>
          <w:color w:val="auto"/>
          <w:kern w:val="0"/>
          <w:sz w:val="30"/>
          <w:szCs w:val="30"/>
          <w:highlight w:val="none"/>
        </w:rPr>
        <w:t>元</w:t>
      </w:r>
      <w:r>
        <w:rPr>
          <w:rFonts w:hint="eastAsia" w:ascii="宋体" w:hAnsi="宋体" w:eastAsia="宋体" w:cs="宋体"/>
          <w:bCs/>
          <w:color w:val="auto"/>
          <w:sz w:val="30"/>
          <w:szCs w:val="30"/>
          <w:highlight w:val="none"/>
          <w:lang w:eastAsia="zh-CN"/>
        </w:rPr>
        <w:t>。财政预算</w:t>
      </w:r>
      <w:r>
        <w:rPr>
          <w:rFonts w:hint="eastAsia" w:ascii="宋体" w:hAnsi="宋体" w:eastAsia="宋体" w:cs="宋体"/>
          <w:color w:val="auto"/>
          <w:kern w:val="0"/>
          <w:sz w:val="30"/>
          <w:szCs w:val="30"/>
          <w:highlight w:val="none"/>
        </w:rPr>
        <w:t>支出317,565,750.96元。收入支出明细如</w:t>
      </w:r>
      <w:r>
        <w:rPr>
          <w:rFonts w:hint="eastAsia" w:ascii="宋体" w:hAnsi="宋体" w:cs="宋体"/>
          <w:color w:val="auto"/>
          <w:kern w:val="0"/>
          <w:sz w:val="28"/>
          <w:szCs w:val="28"/>
          <w:highlight w:val="none"/>
        </w:rPr>
        <w:t>下：</w:t>
      </w:r>
    </w:p>
    <w:tbl>
      <w:tblPr>
        <w:tblStyle w:val="8"/>
        <w:tblW w:w="9630" w:type="dxa"/>
        <w:tblInd w:w="51" w:type="dxa"/>
        <w:tblLayout w:type="fixed"/>
        <w:tblCellMar>
          <w:top w:w="0" w:type="dxa"/>
          <w:left w:w="0" w:type="dxa"/>
          <w:bottom w:w="0" w:type="dxa"/>
          <w:right w:w="0" w:type="dxa"/>
        </w:tblCellMar>
      </w:tblPr>
      <w:tblGrid>
        <w:gridCol w:w="960"/>
        <w:gridCol w:w="1290"/>
        <w:gridCol w:w="2370"/>
        <w:gridCol w:w="2385"/>
        <w:gridCol w:w="2625"/>
      </w:tblGrid>
      <w:tr w14:paraId="493A11C4">
        <w:tblPrEx>
          <w:tblCellMar>
            <w:top w:w="0" w:type="dxa"/>
            <w:left w:w="0" w:type="dxa"/>
            <w:bottom w:w="0" w:type="dxa"/>
            <w:right w:w="0" w:type="dxa"/>
          </w:tblCellMar>
        </w:tblPrEx>
        <w:trPr>
          <w:trHeight w:val="600" w:hRule="atLeast"/>
        </w:trPr>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1E0B1B">
            <w:pPr>
              <w:keepNext w:val="0"/>
              <w:keepLines w:val="0"/>
              <w:widowControl/>
              <w:suppressLineNumbers w:val="0"/>
              <w:jc w:val="left"/>
              <w:textAlignment w:val="center"/>
              <w:rPr>
                <w:rFonts w:ascii="宋体" w:hAnsi="宋体" w:cs="宋体"/>
                <w:color w:val="auto"/>
                <w:sz w:val="24"/>
                <w:highlight w:val="none"/>
              </w:rPr>
            </w:pPr>
            <w:r>
              <w:rPr>
                <w:rStyle w:val="14"/>
                <w:lang w:val="en-US" w:eastAsia="zh-CN" w:bidi="ar"/>
              </w:rPr>
              <w:t>序</w:t>
            </w:r>
            <w:r>
              <w:rPr>
                <w:rStyle w:val="15"/>
                <w:lang w:val="en-US" w:eastAsia="zh-CN" w:bidi="ar"/>
              </w:rPr>
              <w:t>号</w:t>
            </w: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4E9A90">
            <w:pPr>
              <w:keepNext w:val="0"/>
              <w:keepLines w:val="0"/>
              <w:widowControl/>
              <w:suppressLineNumbers w:val="0"/>
              <w:jc w:val="center"/>
              <w:textAlignment w:val="center"/>
              <w:rPr>
                <w:rFonts w:ascii="宋体" w:hAnsi="宋体" w:cs="宋体"/>
                <w:color w:val="auto"/>
                <w:sz w:val="24"/>
                <w:highlight w:val="none"/>
              </w:rPr>
            </w:pPr>
            <w:r>
              <w:rPr>
                <w:rStyle w:val="14"/>
                <w:lang w:val="en-US" w:eastAsia="zh-CN" w:bidi="ar"/>
              </w:rPr>
              <w:t>项</w:t>
            </w:r>
            <w:r>
              <w:rPr>
                <w:rStyle w:val="15"/>
                <w:lang w:val="en-US" w:eastAsia="zh-CN" w:bidi="ar"/>
              </w:rPr>
              <w:t>目</w:t>
            </w: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7B3F49">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000000"/>
                <w:kern w:val="0"/>
                <w:sz w:val="24"/>
                <w:szCs w:val="24"/>
                <w:u w:val="none"/>
                <w:lang w:val="en-US" w:eastAsia="zh-CN" w:bidi="ar"/>
              </w:rPr>
              <w:t>预算收入（元）</w:t>
            </w:r>
          </w:p>
        </w:tc>
        <w:tc>
          <w:tcPr>
            <w:tcW w:w="2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07A0EB">
            <w:pPr>
              <w:keepNext w:val="0"/>
              <w:keepLines w:val="0"/>
              <w:widowControl/>
              <w:suppressLineNumbers w:val="0"/>
              <w:jc w:val="center"/>
              <w:textAlignment w:val="center"/>
              <w:rPr>
                <w:rFonts w:hint="default" w:ascii="宋体" w:hAnsi="宋体" w:cs="宋体"/>
                <w:color w:val="auto"/>
                <w:sz w:val="24"/>
                <w:highlight w:val="none"/>
                <w:lang w:val="en-US"/>
              </w:rPr>
            </w:pPr>
            <w:r>
              <w:rPr>
                <w:rFonts w:hint="eastAsia" w:ascii="宋体" w:hAnsi="宋体" w:eastAsia="宋体" w:cs="宋体"/>
                <w:i w:val="0"/>
                <w:iCs w:val="0"/>
                <w:color w:val="000000"/>
                <w:kern w:val="0"/>
                <w:sz w:val="24"/>
                <w:szCs w:val="24"/>
                <w:u w:val="none"/>
                <w:lang w:val="en-US" w:eastAsia="zh-CN" w:bidi="ar"/>
              </w:rPr>
              <w:t>预算支出（元）</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5A2683">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000000"/>
                <w:kern w:val="0"/>
                <w:sz w:val="24"/>
                <w:szCs w:val="24"/>
                <w:u w:val="none"/>
                <w:lang w:val="en-US" w:eastAsia="zh-CN" w:bidi="ar"/>
              </w:rPr>
              <w:t>收入-支出（元）</w:t>
            </w:r>
          </w:p>
        </w:tc>
      </w:tr>
      <w:tr w14:paraId="2EDF443B">
        <w:tblPrEx>
          <w:tblCellMar>
            <w:top w:w="0" w:type="dxa"/>
            <w:left w:w="0" w:type="dxa"/>
            <w:bottom w:w="0" w:type="dxa"/>
            <w:right w:w="0" w:type="dxa"/>
          </w:tblCellMar>
        </w:tblPrEx>
        <w:trPr>
          <w:trHeight w:val="547" w:hRule="atLeast"/>
        </w:trPr>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306FA1">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000000"/>
                <w:kern w:val="0"/>
                <w:sz w:val="24"/>
                <w:szCs w:val="24"/>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B859A0">
            <w:pPr>
              <w:keepNext w:val="0"/>
              <w:keepLines w:val="0"/>
              <w:widowControl/>
              <w:suppressLineNumbers w:val="0"/>
              <w:jc w:val="both"/>
              <w:textAlignment w:val="center"/>
              <w:rPr>
                <w:rFonts w:ascii="宋体" w:hAnsi="宋体" w:cs="宋体"/>
                <w:color w:val="auto"/>
                <w:sz w:val="24"/>
                <w:highlight w:val="none"/>
              </w:rPr>
            </w:pPr>
            <w:r>
              <w:rPr>
                <w:rFonts w:hint="eastAsia" w:ascii="宋体" w:hAnsi="宋体" w:eastAsia="宋体" w:cs="宋体"/>
                <w:i w:val="0"/>
                <w:iCs w:val="0"/>
                <w:color w:val="000000"/>
                <w:kern w:val="0"/>
                <w:sz w:val="24"/>
                <w:szCs w:val="24"/>
                <w:u w:val="none"/>
                <w:lang w:val="en-US" w:eastAsia="zh-CN" w:bidi="ar"/>
              </w:rPr>
              <w:t>基本支出</w:t>
            </w: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D72BD8">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000000"/>
                <w:kern w:val="0"/>
                <w:sz w:val="24"/>
                <w:szCs w:val="24"/>
                <w:u w:val="none"/>
                <w:lang w:val="en-US" w:eastAsia="zh-CN" w:bidi="ar"/>
              </w:rPr>
              <w:t xml:space="preserve"> 8,986,781.81 </w:t>
            </w:r>
          </w:p>
        </w:tc>
        <w:tc>
          <w:tcPr>
            <w:tcW w:w="2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B5E9A5">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000000"/>
                <w:kern w:val="0"/>
                <w:sz w:val="24"/>
                <w:szCs w:val="24"/>
                <w:u w:val="none"/>
                <w:lang w:val="en-US" w:eastAsia="zh-CN" w:bidi="ar"/>
              </w:rPr>
              <w:t xml:space="preserve"> 8,986,781.81 </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6CA9F6">
            <w:pPr>
              <w:keepNext w:val="0"/>
              <w:keepLines w:val="0"/>
              <w:widowControl/>
              <w:suppressLineNumbers w:val="0"/>
              <w:jc w:val="center"/>
              <w:textAlignment w:val="center"/>
              <w:rPr>
                <w:rFonts w:hint="default" w:ascii="宋体" w:hAnsi="宋体" w:eastAsia="仿宋_GB2312" w:cs="宋体"/>
                <w:color w:val="auto"/>
                <w:sz w:val="24"/>
                <w:highlight w:val="none"/>
                <w:lang w:val="en-US" w:eastAsia="zh-CN"/>
              </w:rPr>
            </w:pPr>
            <w:r>
              <w:rPr>
                <w:rFonts w:hint="eastAsia" w:ascii="宋体" w:hAnsi="宋体" w:cs="宋体"/>
                <w:color w:val="auto"/>
                <w:sz w:val="24"/>
                <w:highlight w:val="none"/>
                <w:lang w:val="en-US" w:eastAsia="zh-CN"/>
              </w:rPr>
              <w:t>0.00</w:t>
            </w:r>
          </w:p>
        </w:tc>
      </w:tr>
      <w:tr w14:paraId="2051027C">
        <w:tblPrEx>
          <w:tblCellMar>
            <w:top w:w="0" w:type="dxa"/>
            <w:left w:w="0" w:type="dxa"/>
            <w:bottom w:w="0" w:type="dxa"/>
            <w:right w:w="0" w:type="dxa"/>
          </w:tblCellMar>
        </w:tblPrEx>
        <w:trPr>
          <w:trHeight w:val="536" w:hRule="atLeast"/>
        </w:trPr>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709500">
            <w:pPr>
              <w:keepNext w:val="0"/>
              <w:keepLines w:val="0"/>
              <w:widowControl/>
              <w:suppressLineNumbers w:val="0"/>
              <w:jc w:val="center"/>
              <w:textAlignment w:val="center"/>
              <w:rPr>
                <w:rFonts w:ascii="宋体" w:hAnsi="宋体" w:cs="宋体"/>
                <w:color w:val="FF0000"/>
                <w:kern w:val="0"/>
                <w:sz w:val="24"/>
                <w:highlight w:val="none"/>
              </w:rPr>
            </w:pPr>
            <w:r>
              <w:rPr>
                <w:rFonts w:hint="eastAsia" w:ascii="宋体" w:hAnsi="宋体" w:eastAsia="宋体" w:cs="宋体"/>
                <w:i w:val="0"/>
                <w:iCs w:val="0"/>
                <w:color w:val="000000"/>
                <w:kern w:val="0"/>
                <w:sz w:val="24"/>
                <w:szCs w:val="24"/>
                <w:u w:val="none"/>
                <w:lang w:val="en-US" w:eastAsia="zh-CN" w:bidi="ar"/>
              </w:rPr>
              <w:t>2</w:t>
            </w: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1BF551">
            <w:pPr>
              <w:keepNext w:val="0"/>
              <w:keepLines w:val="0"/>
              <w:widowControl/>
              <w:suppressLineNumbers w:val="0"/>
              <w:jc w:val="both"/>
              <w:textAlignment w:val="center"/>
              <w:rPr>
                <w:rFonts w:ascii="宋体" w:hAnsi="宋体" w:cs="宋体"/>
                <w:color w:val="FF0000"/>
                <w:kern w:val="0"/>
                <w:sz w:val="18"/>
                <w:szCs w:val="18"/>
                <w:highlight w:val="none"/>
              </w:rPr>
            </w:pPr>
            <w:r>
              <w:rPr>
                <w:rFonts w:hint="eastAsia" w:ascii="宋体" w:hAnsi="宋体" w:eastAsia="宋体" w:cs="宋体"/>
                <w:i w:val="0"/>
                <w:iCs w:val="0"/>
                <w:color w:val="000000"/>
                <w:kern w:val="0"/>
                <w:sz w:val="24"/>
                <w:szCs w:val="24"/>
                <w:u w:val="none"/>
                <w:lang w:val="en-US" w:eastAsia="zh-CN" w:bidi="ar"/>
              </w:rPr>
              <w:t>项目支出</w:t>
            </w: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DEFF1C">
            <w:pPr>
              <w:keepNext w:val="0"/>
              <w:keepLines w:val="0"/>
              <w:widowControl/>
              <w:suppressLineNumbers w:val="0"/>
              <w:jc w:val="center"/>
              <w:textAlignment w:val="center"/>
              <w:rPr>
                <w:rFonts w:ascii="宋体" w:hAnsi="宋体" w:cs="宋体"/>
                <w:color w:val="FF0000"/>
                <w:kern w:val="0"/>
                <w:sz w:val="24"/>
                <w:highlight w:val="none"/>
              </w:rPr>
            </w:pPr>
            <w:r>
              <w:rPr>
                <w:rFonts w:hint="eastAsia" w:ascii="宋体" w:hAnsi="宋体" w:eastAsia="宋体" w:cs="宋体"/>
                <w:i w:val="0"/>
                <w:iCs w:val="0"/>
                <w:color w:val="000000"/>
                <w:kern w:val="0"/>
                <w:sz w:val="24"/>
                <w:szCs w:val="24"/>
                <w:u w:val="none"/>
                <w:lang w:val="en-US" w:eastAsia="zh-CN" w:bidi="ar"/>
              </w:rPr>
              <w:t xml:space="preserve"> 308,578,969.15 </w:t>
            </w:r>
          </w:p>
        </w:tc>
        <w:tc>
          <w:tcPr>
            <w:tcW w:w="2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C6F739">
            <w:pPr>
              <w:keepNext w:val="0"/>
              <w:keepLines w:val="0"/>
              <w:widowControl/>
              <w:suppressLineNumbers w:val="0"/>
              <w:jc w:val="center"/>
              <w:textAlignment w:val="center"/>
              <w:rPr>
                <w:rFonts w:ascii="宋体" w:hAnsi="宋体" w:cs="宋体"/>
                <w:color w:val="FF0000"/>
                <w:kern w:val="0"/>
                <w:sz w:val="24"/>
                <w:highlight w:val="none"/>
              </w:rPr>
            </w:pPr>
            <w:r>
              <w:rPr>
                <w:rFonts w:hint="eastAsia" w:ascii="宋体" w:hAnsi="宋体" w:eastAsia="宋体" w:cs="宋体"/>
                <w:i w:val="0"/>
                <w:iCs w:val="0"/>
                <w:color w:val="000000"/>
                <w:kern w:val="0"/>
                <w:sz w:val="24"/>
                <w:szCs w:val="24"/>
                <w:u w:val="none"/>
                <w:lang w:val="en-US" w:eastAsia="zh-CN" w:bidi="ar"/>
              </w:rPr>
              <w:t xml:space="preserve"> 308,578,969.15 </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8674D4">
            <w:pPr>
              <w:keepNext w:val="0"/>
              <w:keepLines w:val="0"/>
              <w:widowControl/>
              <w:suppressLineNumbers w:val="0"/>
              <w:jc w:val="center"/>
              <w:textAlignment w:val="center"/>
              <w:rPr>
                <w:rFonts w:hint="default" w:ascii="宋体" w:hAnsi="宋体" w:eastAsia="仿宋_GB2312" w:cs="宋体"/>
                <w:color w:val="FF0000"/>
                <w:kern w:val="0"/>
                <w:sz w:val="24"/>
                <w:highlight w:val="none"/>
                <w:lang w:val="en-US" w:eastAsia="zh-CN"/>
              </w:rPr>
            </w:pPr>
            <w:r>
              <w:rPr>
                <w:rFonts w:hint="eastAsia" w:ascii="宋体" w:hAnsi="宋体" w:cs="宋体"/>
                <w:color w:val="FF0000"/>
                <w:kern w:val="0"/>
                <w:sz w:val="24"/>
                <w:highlight w:val="none"/>
                <w:lang w:val="en-US" w:eastAsia="zh-CN"/>
              </w:rPr>
              <w:t>0.00</w:t>
            </w:r>
          </w:p>
        </w:tc>
      </w:tr>
      <w:tr w14:paraId="5B9DD202">
        <w:tblPrEx>
          <w:tblCellMar>
            <w:top w:w="0" w:type="dxa"/>
            <w:left w:w="0" w:type="dxa"/>
            <w:bottom w:w="0" w:type="dxa"/>
            <w:right w:w="0" w:type="dxa"/>
          </w:tblCellMar>
        </w:tblPrEx>
        <w:trPr>
          <w:trHeight w:val="536" w:hRule="atLeast"/>
        </w:trPr>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DC4AEB">
            <w:pPr>
              <w:keepNext w:val="0"/>
              <w:keepLines w:val="0"/>
              <w:widowControl/>
              <w:suppressLineNumbers w:val="0"/>
              <w:jc w:val="center"/>
              <w:textAlignment w:val="center"/>
              <w:rPr>
                <w:rFonts w:ascii="宋体" w:hAnsi="宋体" w:cs="宋体"/>
                <w:color w:val="FF0000"/>
                <w:sz w:val="24"/>
                <w:highlight w:val="none"/>
              </w:rPr>
            </w:pPr>
            <w:r>
              <w:rPr>
                <w:rFonts w:hint="eastAsia" w:ascii="宋体" w:hAnsi="宋体" w:eastAsia="宋体" w:cs="宋体"/>
                <w:i w:val="0"/>
                <w:iCs w:val="0"/>
                <w:color w:val="000000"/>
                <w:kern w:val="0"/>
                <w:sz w:val="24"/>
                <w:szCs w:val="24"/>
                <w:u w:val="none"/>
                <w:lang w:val="en-US" w:eastAsia="zh-CN" w:bidi="ar"/>
              </w:rPr>
              <w:t>3</w:t>
            </w: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FB3E99">
            <w:pPr>
              <w:keepNext w:val="0"/>
              <w:keepLines w:val="0"/>
              <w:widowControl/>
              <w:suppressLineNumbers w:val="0"/>
              <w:jc w:val="both"/>
              <w:textAlignment w:val="center"/>
              <w:rPr>
                <w:rFonts w:ascii="宋体" w:hAnsi="宋体" w:cs="宋体"/>
                <w:color w:val="FF0000"/>
                <w:sz w:val="24"/>
                <w:highlight w:val="none"/>
              </w:rPr>
            </w:pP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246189">
            <w:pPr>
              <w:keepNext w:val="0"/>
              <w:keepLines w:val="0"/>
              <w:widowControl/>
              <w:suppressLineNumbers w:val="0"/>
              <w:jc w:val="center"/>
              <w:textAlignment w:val="center"/>
              <w:rPr>
                <w:rFonts w:ascii="宋体" w:hAnsi="宋体" w:cs="宋体"/>
                <w:color w:val="FF0000"/>
                <w:sz w:val="24"/>
                <w:highlight w:val="none"/>
              </w:rPr>
            </w:pPr>
          </w:p>
        </w:tc>
        <w:tc>
          <w:tcPr>
            <w:tcW w:w="2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A4AC0C">
            <w:pPr>
              <w:jc w:val="center"/>
              <w:rPr>
                <w:rFonts w:ascii="宋体" w:hAnsi="宋体" w:cs="宋体"/>
                <w:color w:val="FF0000"/>
                <w:sz w:val="24"/>
                <w:highlight w:val="none"/>
              </w:rPr>
            </w:pP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14DE57">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p>
        </w:tc>
      </w:tr>
      <w:tr w14:paraId="60C190A9">
        <w:tblPrEx>
          <w:tblCellMar>
            <w:top w:w="0" w:type="dxa"/>
            <w:left w:w="0" w:type="dxa"/>
            <w:bottom w:w="0" w:type="dxa"/>
            <w:right w:w="0" w:type="dxa"/>
          </w:tblCellMar>
        </w:tblPrEx>
        <w:trPr>
          <w:trHeight w:val="536" w:hRule="atLeast"/>
        </w:trPr>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AD1952">
            <w:pPr>
              <w:keepNext w:val="0"/>
              <w:keepLines w:val="0"/>
              <w:widowControl/>
              <w:suppressLineNumbers w:val="0"/>
              <w:jc w:val="center"/>
              <w:textAlignment w:val="center"/>
              <w:rPr>
                <w:rFonts w:hint="eastAsia" w:ascii="宋体" w:hAnsi="宋体" w:cs="宋体"/>
                <w:color w:val="FF0000"/>
                <w:kern w:val="0"/>
                <w:sz w:val="24"/>
                <w:highlight w:val="none"/>
              </w:rPr>
            </w:pPr>
            <w:r>
              <w:rPr>
                <w:rFonts w:hint="eastAsia" w:ascii="宋体" w:hAnsi="宋体" w:eastAsia="宋体" w:cs="宋体"/>
                <w:i w:val="0"/>
                <w:iCs w:val="0"/>
                <w:color w:val="000000"/>
                <w:kern w:val="0"/>
                <w:sz w:val="24"/>
                <w:szCs w:val="24"/>
                <w:u w:val="none"/>
                <w:lang w:val="en-US" w:eastAsia="zh-CN" w:bidi="ar"/>
              </w:rPr>
              <w:t>4</w:t>
            </w: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E5D112">
            <w:pPr>
              <w:keepNext w:val="0"/>
              <w:keepLines w:val="0"/>
              <w:widowControl/>
              <w:suppressLineNumbers w:val="0"/>
              <w:jc w:val="both"/>
              <w:textAlignment w:val="center"/>
              <w:rPr>
                <w:rFonts w:hint="eastAsia" w:ascii="宋体" w:hAnsi="宋体" w:cs="宋体"/>
                <w:color w:val="FF0000"/>
                <w:kern w:val="0"/>
                <w:sz w:val="24"/>
                <w:highlight w:val="none"/>
              </w:rPr>
            </w:pP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644F00">
            <w:pPr>
              <w:keepNext w:val="0"/>
              <w:keepLines w:val="0"/>
              <w:widowControl/>
              <w:suppressLineNumbers w:val="0"/>
              <w:jc w:val="center"/>
              <w:textAlignment w:val="center"/>
              <w:rPr>
                <w:rFonts w:hint="eastAsia" w:ascii="宋体" w:hAnsi="宋体" w:cs="宋体"/>
                <w:color w:val="FF0000"/>
                <w:kern w:val="0"/>
                <w:sz w:val="24"/>
                <w:highlight w:val="none"/>
              </w:rPr>
            </w:pPr>
          </w:p>
        </w:tc>
        <w:tc>
          <w:tcPr>
            <w:tcW w:w="2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C0FF42">
            <w:pPr>
              <w:keepNext w:val="0"/>
              <w:keepLines w:val="0"/>
              <w:widowControl/>
              <w:suppressLineNumbers w:val="0"/>
              <w:jc w:val="center"/>
              <w:textAlignment w:val="center"/>
              <w:rPr>
                <w:rFonts w:hint="eastAsia" w:ascii="宋体" w:hAnsi="宋体" w:cs="宋体"/>
                <w:color w:val="FF0000"/>
                <w:sz w:val="24"/>
                <w:highlight w:val="none"/>
              </w:rPr>
            </w:pP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2F95F6">
            <w:pPr>
              <w:keepNext w:val="0"/>
              <w:keepLines w:val="0"/>
              <w:widowControl/>
              <w:suppressLineNumbers w:val="0"/>
              <w:jc w:val="center"/>
              <w:textAlignment w:val="center"/>
              <w:rPr>
                <w:rFonts w:hint="eastAsia" w:ascii="宋体" w:hAnsi="宋体" w:cs="宋体"/>
                <w:color w:val="FF0000"/>
                <w:kern w:val="0"/>
                <w:sz w:val="24"/>
                <w:highlight w:val="none"/>
              </w:rPr>
            </w:pPr>
          </w:p>
        </w:tc>
      </w:tr>
      <w:tr w14:paraId="3E04C74A">
        <w:tblPrEx>
          <w:tblCellMar>
            <w:top w:w="0" w:type="dxa"/>
            <w:left w:w="0" w:type="dxa"/>
            <w:bottom w:w="0" w:type="dxa"/>
            <w:right w:w="0" w:type="dxa"/>
          </w:tblCellMar>
        </w:tblPrEx>
        <w:trPr>
          <w:trHeight w:val="536" w:hRule="atLeast"/>
        </w:trPr>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7F18FD">
            <w:pPr>
              <w:jc w:val="both"/>
              <w:rPr>
                <w:rFonts w:ascii="宋体" w:hAnsi="宋体" w:cs="宋体"/>
                <w:color w:val="FF0000"/>
                <w:kern w:val="0"/>
                <w:sz w:val="24"/>
                <w:highlight w:val="none"/>
              </w:rPr>
            </w:pP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38D709">
            <w:pPr>
              <w:keepNext w:val="0"/>
              <w:keepLines w:val="0"/>
              <w:widowControl/>
              <w:suppressLineNumbers w:val="0"/>
              <w:jc w:val="both"/>
              <w:textAlignment w:val="center"/>
              <w:rPr>
                <w:rFonts w:ascii="宋体" w:hAnsi="宋体" w:cs="宋体"/>
                <w:color w:val="FF0000"/>
                <w:kern w:val="0"/>
                <w:sz w:val="24"/>
                <w:highlight w:val="none"/>
              </w:rPr>
            </w:pPr>
            <w:r>
              <w:rPr>
                <w:rFonts w:hint="eastAsia" w:ascii="宋体" w:hAnsi="宋体" w:eastAsia="宋体" w:cs="宋体"/>
                <w:i w:val="0"/>
                <w:iCs w:val="0"/>
                <w:color w:val="000000"/>
                <w:kern w:val="0"/>
                <w:sz w:val="24"/>
                <w:szCs w:val="24"/>
                <w:u w:val="none"/>
                <w:lang w:val="en-US" w:eastAsia="zh-CN" w:bidi="ar"/>
              </w:rPr>
              <w:t>合计</w:t>
            </w: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EE27F5">
            <w:pPr>
              <w:keepNext w:val="0"/>
              <w:keepLines w:val="0"/>
              <w:widowControl/>
              <w:suppressLineNumbers w:val="0"/>
              <w:jc w:val="center"/>
              <w:textAlignment w:val="center"/>
              <w:rPr>
                <w:rFonts w:ascii="宋体" w:hAnsi="宋体" w:cs="宋体"/>
                <w:color w:val="FF0000"/>
                <w:kern w:val="0"/>
                <w:sz w:val="24"/>
                <w:highlight w:val="none"/>
              </w:rPr>
            </w:pPr>
            <w:r>
              <w:rPr>
                <w:rFonts w:hint="eastAsia" w:ascii="宋体" w:hAnsi="宋体" w:eastAsia="宋体" w:cs="宋体"/>
                <w:i w:val="0"/>
                <w:iCs w:val="0"/>
                <w:color w:val="000000"/>
                <w:kern w:val="0"/>
                <w:sz w:val="24"/>
                <w:szCs w:val="24"/>
                <w:u w:val="none"/>
                <w:lang w:val="en-US" w:eastAsia="zh-CN" w:bidi="ar"/>
              </w:rPr>
              <w:t>317,565,750.96</w:t>
            </w:r>
          </w:p>
        </w:tc>
        <w:tc>
          <w:tcPr>
            <w:tcW w:w="2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1116BB">
            <w:pPr>
              <w:keepNext w:val="0"/>
              <w:keepLines w:val="0"/>
              <w:widowControl/>
              <w:suppressLineNumbers w:val="0"/>
              <w:jc w:val="center"/>
              <w:textAlignment w:val="center"/>
              <w:rPr>
                <w:rFonts w:ascii="宋体" w:hAnsi="宋体" w:cs="宋体"/>
                <w:color w:val="FF0000"/>
                <w:kern w:val="0"/>
                <w:sz w:val="24"/>
                <w:highlight w:val="none"/>
              </w:rPr>
            </w:pPr>
            <w:r>
              <w:rPr>
                <w:rFonts w:hint="eastAsia" w:ascii="宋体" w:hAnsi="宋体" w:eastAsia="宋体" w:cs="宋体"/>
                <w:i w:val="0"/>
                <w:iCs w:val="0"/>
                <w:color w:val="000000"/>
                <w:kern w:val="0"/>
                <w:sz w:val="24"/>
                <w:szCs w:val="24"/>
                <w:u w:val="none"/>
                <w:lang w:val="en-US" w:eastAsia="zh-CN" w:bidi="ar"/>
              </w:rPr>
              <w:t>317,565,750.96</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2DB3A7">
            <w:pPr>
              <w:keepNext w:val="0"/>
              <w:keepLines w:val="0"/>
              <w:widowControl/>
              <w:suppressLineNumbers w:val="0"/>
              <w:jc w:val="center"/>
              <w:textAlignment w:val="center"/>
              <w:rPr>
                <w:rFonts w:hint="default" w:ascii="宋体" w:hAnsi="宋体" w:cs="宋体"/>
                <w:color w:val="FF0000"/>
                <w:kern w:val="0"/>
                <w:sz w:val="24"/>
                <w:highlight w:val="none"/>
                <w:lang w:val="en-US"/>
              </w:rPr>
            </w:pPr>
            <w:r>
              <w:rPr>
                <w:rFonts w:hint="eastAsia" w:ascii="宋体" w:hAnsi="宋体" w:eastAsia="宋体" w:cs="宋体"/>
                <w:i w:val="0"/>
                <w:iCs w:val="0"/>
                <w:color w:val="000000"/>
                <w:kern w:val="0"/>
                <w:sz w:val="24"/>
                <w:szCs w:val="24"/>
                <w:u w:val="none"/>
                <w:lang w:val="en-US" w:eastAsia="zh-CN" w:bidi="ar"/>
              </w:rPr>
              <w:t>0.00</w:t>
            </w:r>
          </w:p>
        </w:tc>
      </w:tr>
    </w:tbl>
    <w:p w14:paraId="6BE2FAA0">
      <w:pPr>
        <w:spacing w:line="360" w:lineRule="auto"/>
        <w:ind w:firstLine="301" w:firstLineChars="100"/>
        <w:rPr>
          <w:rFonts w:hint="eastAsia" w:ascii="宋体" w:hAnsi="宋体" w:eastAsia="宋体" w:cs="宋体"/>
          <w:b/>
          <w:bCs/>
          <w:color w:val="000000" w:themeColor="text1"/>
          <w:kern w:val="0"/>
          <w:sz w:val="30"/>
          <w:szCs w:val="30"/>
        </w:rPr>
      </w:pPr>
      <w:r>
        <w:rPr>
          <w:rFonts w:hint="eastAsia" w:ascii="宋体" w:hAnsi="宋体" w:eastAsia="宋体" w:cs="宋体"/>
          <w:b/>
          <w:bCs/>
          <w:color w:val="000000" w:themeColor="text1"/>
          <w:kern w:val="0"/>
          <w:sz w:val="30"/>
          <w:szCs w:val="30"/>
        </w:rPr>
        <w:t>（三）绩效目标设立情况，主要包括部门中长期绩效目标和年度绩效目标</w:t>
      </w:r>
    </w:p>
    <w:p w14:paraId="2F18751B">
      <w:pPr>
        <w:spacing w:line="360" w:lineRule="auto"/>
        <w:ind w:firstLine="600" w:firstLineChars="200"/>
        <w:rPr>
          <w:rFonts w:hint="eastAsia" w:ascii="宋体" w:hAnsi="宋体" w:eastAsia="宋体" w:cs="宋体"/>
          <w:bCs/>
          <w:color w:val="auto"/>
          <w:sz w:val="30"/>
          <w:szCs w:val="30"/>
          <w:highlight w:val="none"/>
        </w:rPr>
      </w:pPr>
      <w:r>
        <w:rPr>
          <w:rFonts w:hint="eastAsia" w:ascii="宋体" w:hAnsi="宋体" w:eastAsia="宋体" w:cs="宋体"/>
          <w:bCs/>
          <w:color w:val="auto"/>
          <w:sz w:val="30"/>
          <w:szCs w:val="30"/>
          <w:highlight w:val="none"/>
        </w:rPr>
        <w:t>根据上级部门文件和相关资料，我局</w:t>
      </w:r>
      <w:r>
        <w:rPr>
          <w:rFonts w:hint="eastAsia" w:ascii="宋体" w:hAnsi="宋体" w:eastAsia="宋体" w:cs="宋体"/>
          <w:bCs/>
          <w:color w:val="auto"/>
          <w:sz w:val="30"/>
          <w:szCs w:val="30"/>
          <w:highlight w:val="none"/>
          <w:lang w:eastAsia="zh-CN"/>
        </w:rPr>
        <w:t>2023年</w:t>
      </w:r>
      <w:r>
        <w:rPr>
          <w:rFonts w:hint="eastAsia" w:ascii="宋体" w:hAnsi="宋体" w:eastAsia="宋体" w:cs="宋体"/>
          <w:bCs/>
          <w:color w:val="auto"/>
          <w:sz w:val="30"/>
          <w:szCs w:val="30"/>
          <w:highlight w:val="none"/>
        </w:rPr>
        <w:t>度预算收入为</w:t>
      </w:r>
      <w:r>
        <w:rPr>
          <w:rFonts w:hint="eastAsia" w:ascii="宋体" w:hAnsi="宋体" w:eastAsia="宋体" w:cs="宋体"/>
          <w:bCs/>
          <w:color w:val="auto"/>
          <w:sz w:val="30"/>
          <w:szCs w:val="30"/>
          <w:highlight w:val="none"/>
          <w:lang w:val="en-US" w:eastAsia="zh-CN"/>
        </w:rPr>
        <w:t>31756.58</w:t>
      </w:r>
      <w:r>
        <w:rPr>
          <w:rFonts w:hint="eastAsia" w:ascii="宋体" w:hAnsi="宋体" w:eastAsia="宋体" w:cs="宋体"/>
          <w:bCs/>
          <w:color w:val="auto"/>
          <w:sz w:val="30"/>
          <w:szCs w:val="30"/>
          <w:highlight w:val="none"/>
        </w:rPr>
        <w:t>万元</w:t>
      </w:r>
      <w:r>
        <w:rPr>
          <w:rFonts w:hint="eastAsia" w:ascii="宋体" w:hAnsi="宋体" w:eastAsia="宋体" w:cs="宋体"/>
          <w:bCs/>
          <w:color w:val="auto"/>
          <w:sz w:val="30"/>
          <w:szCs w:val="30"/>
          <w:highlight w:val="none"/>
          <w:lang w:eastAsia="zh-CN"/>
        </w:rPr>
        <w:t>，</w:t>
      </w:r>
      <w:r>
        <w:rPr>
          <w:rFonts w:hint="eastAsia" w:ascii="宋体" w:hAnsi="宋体" w:eastAsia="宋体" w:cs="宋体"/>
          <w:bCs/>
          <w:color w:val="auto"/>
          <w:sz w:val="30"/>
          <w:szCs w:val="30"/>
          <w:highlight w:val="none"/>
        </w:rPr>
        <w:t>预算支出为</w:t>
      </w:r>
      <w:r>
        <w:rPr>
          <w:rFonts w:hint="eastAsia" w:ascii="宋体" w:hAnsi="宋体" w:eastAsia="宋体" w:cs="宋体"/>
          <w:bCs/>
          <w:color w:val="auto"/>
          <w:sz w:val="30"/>
          <w:szCs w:val="30"/>
          <w:highlight w:val="none"/>
          <w:lang w:val="en-US" w:eastAsia="zh-CN"/>
        </w:rPr>
        <w:t>31756.58</w:t>
      </w:r>
      <w:r>
        <w:rPr>
          <w:rFonts w:hint="eastAsia" w:ascii="宋体" w:hAnsi="宋体" w:eastAsia="宋体" w:cs="宋体"/>
          <w:bCs/>
          <w:color w:val="auto"/>
          <w:sz w:val="30"/>
          <w:szCs w:val="30"/>
          <w:highlight w:val="none"/>
        </w:rPr>
        <w:t>万元，为单位基本支出及项目支出等</w:t>
      </w:r>
      <w:r>
        <w:rPr>
          <w:rFonts w:hint="eastAsia" w:ascii="宋体" w:hAnsi="宋体" w:eastAsia="宋体" w:cs="宋体"/>
          <w:b/>
          <w:bCs/>
          <w:color w:val="auto"/>
          <w:kern w:val="0"/>
          <w:sz w:val="30"/>
          <w:szCs w:val="30"/>
          <w:highlight w:val="none"/>
        </w:rPr>
        <w:t>，</w:t>
      </w:r>
      <w:r>
        <w:rPr>
          <w:rFonts w:hint="eastAsia" w:ascii="宋体" w:hAnsi="宋体" w:eastAsia="宋体" w:cs="宋体"/>
          <w:bCs/>
          <w:color w:val="auto"/>
          <w:sz w:val="30"/>
          <w:szCs w:val="30"/>
          <w:highlight w:val="none"/>
        </w:rPr>
        <w:t>目标决策具有规范性、合理性、明确性，资金预算已分配到各内容或项目，并制定了中长期绩效目标和年度绩效目标，中长期绩效目标为完成跨年度绩效项目，完成国家规定</w:t>
      </w:r>
      <w:r>
        <w:rPr>
          <w:rFonts w:hint="eastAsia" w:ascii="宋体" w:hAnsi="宋体" w:eastAsia="宋体" w:cs="宋体"/>
          <w:bCs/>
          <w:color w:val="auto"/>
          <w:sz w:val="30"/>
          <w:szCs w:val="30"/>
          <w:highlight w:val="none"/>
          <w:lang w:eastAsia="zh-CN"/>
        </w:rPr>
        <w:t>住建</w:t>
      </w:r>
      <w:r>
        <w:rPr>
          <w:rFonts w:hint="eastAsia" w:ascii="宋体" w:hAnsi="宋体" w:eastAsia="宋体" w:cs="宋体"/>
          <w:bCs/>
          <w:color w:val="auto"/>
          <w:sz w:val="30"/>
          <w:szCs w:val="30"/>
          <w:highlight w:val="none"/>
        </w:rPr>
        <w:t>部门应该履行的职能，年度绩效目标为完成年初预算和年中调整确定的绩效目标，完成上级政府部门交办的年度具体工作任务。</w:t>
      </w:r>
    </w:p>
    <w:p w14:paraId="44CB30F1">
      <w:pPr>
        <w:spacing w:line="360" w:lineRule="auto"/>
        <w:ind w:firstLine="600" w:firstLineChars="200"/>
        <w:rPr>
          <w:rFonts w:hint="eastAsia" w:ascii="宋体" w:hAnsi="宋体" w:eastAsia="宋体" w:cs="宋体"/>
          <w:color w:val="000000" w:themeColor="text1"/>
          <w:kern w:val="0"/>
          <w:sz w:val="30"/>
          <w:szCs w:val="30"/>
        </w:rPr>
      </w:pPr>
      <w:r>
        <w:rPr>
          <w:rFonts w:hint="eastAsia" w:ascii="宋体" w:hAnsi="宋体" w:eastAsia="宋体" w:cs="宋体"/>
          <w:bCs/>
          <w:color w:val="000000" w:themeColor="text1"/>
          <w:kern w:val="0"/>
          <w:sz w:val="30"/>
          <w:szCs w:val="30"/>
        </w:rPr>
        <w:t>二、部门整体支出管理及使用情况分析</w:t>
      </w:r>
    </w:p>
    <w:p w14:paraId="159B8F8B">
      <w:pPr>
        <w:keepNext w:val="0"/>
        <w:keepLines w:val="0"/>
        <w:pageBreakBefore w:val="0"/>
        <w:widowControl w:val="0"/>
        <w:kinsoku/>
        <w:wordWrap w:val="0"/>
        <w:overflowPunct/>
        <w:topLinePunct/>
        <w:autoSpaceDE/>
        <w:autoSpaceDN/>
        <w:bidi w:val="0"/>
        <w:adjustRightInd/>
        <w:snapToGrid/>
        <w:spacing w:line="360" w:lineRule="auto"/>
        <w:ind w:firstLine="600" w:firstLineChars="200"/>
        <w:jc w:val="left"/>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我局</w:t>
      </w:r>
      <w:r>
        <w:rPr>
          <w:rFonts w:hint="eastAsia" w:ascii="宋体" w:hAnsi="宋体" w:eastAsia="宋体" w:cs="宋体"/>
          <w:color w:val="auto"/>
          <w:sz w:val="30"/>
          <w:szCs w:val="30"/>
          <w:highlight w:val="none"/>
          <w:lang w:eastAsia="zh-CN"/>
        </w:rPr>
        <w:t>2023年</w:t>
      </w:r>
      <w:r>
        <w:rPr>
          <w:rFonts w:hint="eastAsia" w:ascii="宋体" w:hAnsi="宋体" w:eastAsia="宋体" w:cs="宋体"/>
          <w:color w:val="auto"/>
          <w:sz w:val="30"/>
          <w:szCs w:val="30"/>
          <w:highlight w:val="none"/>
        </w:rPr>
        <w:t>度部门整体支出317,565,750.96元，其中:</w:t>
      </w:r>
      <w:r>
        <w:rPr>
          <w:rFonts w:hint="eastAsia" w:ascii="宋体" w:hAnsi="宋体" w:eastAsia="宋体" w:cs="宋体"/>
          <w:color w:val="auto"/>
          <w:sz w:val="30"/>
          <w:szCs w:val="30"/>
          <w:highlight w:val="none"/>
          <w:lang w:eastAsia="zh-CN"/>
        </w:rPr>
        <w:t>基本支出8,986,781.81</w:t>
      </w:r>
      <w:r>
        <w:rPr>
          <w:rFonts w:hint="eastAsia" w:ascii="宋体" w:hAnsi="宋体" w:eastAsia="宋体" w:cs="宋体"/>
          <w:color w:val="000000" w:themeColor="text1"/>
          <w:sz w:val="30"/>
          <w:szCs w:val="30"/>
          <w:highlight w:val="none"/>
          <w:lang w:eastAsia="zh-CN"/>
        </w:rPr>
        <w:t>元</w:t>
      </w:r>
      <w:r>
        <w:rPr>
          <w:rFonts w:hint="eastAsia" w:ascii="宋体" w:hAnsi="宋体" w:eastAsia="宋体" w:cs="宋体"/>
          <w:color w:val="000000" w:themeColor="text1"/>
          <w:sz w:val="30"/>
          <w:szCs w:val="30"/>
          <w:highlight w:val="none"/>
          <w:lang w:val="en-US" w:eastAsia="zh-CN"/>
        </w:rPr>
        <w:t>,</w:t>
      </w:r>
      <w:r>
        <w:rPr>
          <w:rFonts w:hint="eastAsia" w:ascii="宋体" w:hAnsi="宋体" w:eastAsia="宋体" w:cs="宋体"/>
          <w:color w:val="000000" w:themeColor="text1"/>
          <w:sz w:val="30"/>
          <w:szCs w:val="30"/>
          <w:highlight w:val="none"/>
          <w:lang w:eastAsia="zh-CN"/>
        </w:rPr>
        <w:t>项目支出308,578,969.15元</w:t>
      </w:r>
      <w:r>
        <w:rPr>
          <w:rFonts w:hint="eastAsia" w:ascii="宋体" w:hAnsi="宋体" w:eastAsia="宋体" w:cs="宋体"/>
          <w:color w:val="000000" w:themeColor="text1"/>
          <w:sz w:val="30"/>
          <w:szCs w:val="30"/>
          <w:highlight w:val="none"/>
          <w:lang w:val="en-US" w:eastAsia="zh-CN"/>
        </w:rPr>
        <w:t>。</w:t>
      </w:r>
      <w:r>
        <w:rPr>
          <w:rFonts w:hint="eastAsia" w:ascii="宋体" w:hAnsi="宋体" w:eastAsia="宋体" w:cs="宋体"/>
          <w:color w:val="000000" w:themeColor="text1"/>
          <w:sz w:val="30"/>
          <w:szCs w:val="30"/>
          <w:highlight w:val="none"/>
          <w:lang w:eastAsia="zh-CN"/>
        </w:rPr>
        <w:t>2023年</w:t>
      </w:r>
      <w:r>
        <w:rPr>
          <w:rFonts w:hint="eastAsia" w:ascii="宋体" w:hAnsi="宋体" w:eastAsia="宋体" w:cs="宋体"/>
          <w:color w:val="000000" w:themeColor="text1"/>
          <w:sz w:val="30"/>
          <w:szCs w:val="30"/>
          <w:highlight w:val="none"/>
        </w:rPr>
        <w:t>度</w:t>
      </w:r>
      <w:r>
        <w:rPr>
          <w:rFonts w:hint="eastAsia" w:ascii="宋体" w:hAnsi="宋体" w:eastAsia="宋体" w:cs="宋体"/>
          <w:color w:val="000000" w:themeColor="text1"/>
          <w:sz w:val="30"/>
          <w:szCs w:val="30"/>
          <w:highlight w:val="none"/>
          <w:lang w:eastAsia="zh-CN"/>
        </w:rPr>
        <w:t>一般公共预算</w:t>
      </w:r>
      <w:r>
        <w:rPr>
          <w:rFonts w:hint="eastAsia" w:ascii="宋体" w:hAnsi="宋体" w:eastAsia="宋体" w:cs="宋体"/>
          <w:color w:val="000000" w:themeColor="text1"/>
          <w:sz w:val="30"/>
          <w:szCs w:val="30"/>
          <w:highlight w:val="none"/>
        </w:rPr>
        <w:t>拨款收入 41,512,819.96元</w:t>
      </w:r>
      <w:r>
        <w:rPr>
          <w:rFonts w:hint="eastAsia" w:ascii="宋体" w:hAnsi="宋体" w:eastAsia="宋体" w:cs="宋体"/>
          <w:color w:val="000000" w:themeColor="text1"/>
          <w:kern w:val="0"/>
          <w:sz w:val="30"/>
          <w:szCs w:val="30"/>
          <w:highlight w:val="none"/>
        </w:rPr>
        <w:t>,</w:t>
      </w:r>
      <w:r>
        <w:rPr>
          <w:rFonts w:hint="eastAsia" w:ascii="宋体" w:hAnsi="宋体" w:eastAsia="宋体" w:cs="宋体"/>
          <w:color w:val="000000" w:themeColor="text1"/>
          <w:kern w:val="0"/>
          <w:sz w:val="30"/>
          <w:szCs w:val="30"/>
          <w:highlight w:val="none"/>
          <w:lang w:eastAsia="zh-CN"/>
        </w:rPr>
        <w:t>政府性基金 276,052,931.00元，</w:t>
      </w:r>
      <w:r>
        <w:rPr>
          <w:rFonts w:hint="eastAsia" w:ascii="宋体" w:hAnsi="宋体" w:eastAsia="宋体" w:cs="宋体"/>
          <w:bCs/>
          <w:color w:val="000000" w:themeColor="text1"/>
          <w:sz w:val="30"/>
          <w:szCs w:val="30"/>
          <w:highlight w:val="none"/>
        </w:rPr>
        <w:t>收入合计317,565,750.96元</w:t>
      </w:r>
      <w:r>
        <w:rPr>
          <w:rFonts w:hint="eastAsia" w:ascii="宋体" w:hAnsi="宋体" w:eastAsia="宋体" w:cs="宋体"/>
          <w:color w:val="000000" w:themeColor="text1"/>
          <w:sz w:val="30"/>
          <w:szCs w:val="30"/>
          <w:highlight w:val="none"/>
        </w:rPr>
        <w:t>。</w:t>
      </w:r>
      <w:r>
        <w:rPr>
          <w:rFonts w:hint="eastAsia" w:ascii="宋体" w:hAnsi="宋体" w:eastAsia="宋体" w:cs="宋体"/>
          <w:color w:val="000000" w:themeColor="text1"/>
          <w:sz w:val="30"/>
          <w:szCs w:val="30"/>
          <w:highlight w:val="none"/>
          <w:lang w:eastAsia="zh-CN"/>
        </w:rPr>
        <w:t>2023</w:t>
      </w:r>
      <w:r>
        <w:rPr>
          <w:rFonts w:hint="eastAsia" w:ascii="宋体" w:hAnsi="宋体" w:eastAsia="宋体" w:cs="宋体"/>
          <w:color w:val="auto"/>
          <w:sz w:val="30"/>
          <w:szCs w:val="30"/>
          <w:highlight w:val="none"/>
          <w:lang w:eastAsia="zh-CN"/>
        </w:rPr>
        <w:t>年</w:t>
      </w:r>
      <w:r>
        <w:rPr>
          <w:rFonts w:hint="eastAsia" w:ascii="宋体" w:hAnsi="宋体" w:eastAsia="宋体" w:cs="宋体"/>
          <w:color w:val="auto"/>
          <w:sz w:val="30"/>
          <w:szCs w:val="30"/>
          <w:highlight w:val="none"/>
        </w:rPr>
        <w:t>度部门整体</w:t>
      </w:r>
      <w:r>
        <w:rPr>
          <w:rFonts w:hint="eastAsia" w:ascii="宋体" w:hAnsi="宋体" w:eastAsia="宋体" w:cs="宋体"/>
          <w:color w:val="auto"/>
          <w:sz w:val="30"/>
          <w:szCs w:val="30"/>
          <w:highlight w:val="none"/>
          <w:lang w:eastAsia="zh-CN"/>
        </w:rPr>
        <w:t>实际</w:t>
      </w:r>
      <w:r>
        <w:rPr>
          <w:rFonts w:hint="eastAsia" w:ascii="宋体" w:hAnsi="宋体" w:eastAsia="宋体" w:cs="宋体"/>
          <w:color w:val="auto"/>
          <w:sz w:val="30"/>
          <w:szCs w:val="30"/>
          <w:highlight w:val="none"/>
        </w:rPr>
        <w:t>收支相抵结余</w:t>
      </w:r>
      <w:r>
        <w:rPr>
          <w:rFonts w:hint="eastAsia" w:ascii="宋体" w:hAnsi="宋体" w:eastAsia="宋体" w:cs="宋体"/>
          <w:color w:val="auto"/>
          <w:sz w:val="30"/>
          <w:szCs w:val="30"/>
          <w:highlight w:val="none"/>
          <w:lang w:val="en-US" w:eastAsia="zh-CN"/>
        </w:rPr>
        <w:t>0.00</w:t>
      </w:r>
      <w:r>
        <w:rPr>
          <w:rFonts w:hint="eastAsia" w:ascii="宋体" w:hAnsi="宋体" w:eastAsia="宋体" w:cs="宋体"/>
          <w:color w:val="auto"/>
          <w:sz w:val="30"/>
          <w:szCs w:val="30"/>
          <w:highlight w:val="none"/>
        </w:rPr>
        <w:t>元。</w:t>
      </w:r>
    </w:p>
    <w:p w14:paraId="5722B2D0">
      <w:pPr>
        <w:spacing w:line="360" w:lineRule="auto"/>
        <w:ind w:firstLine="3313" w:firstLineChars="1100"/>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拨款收入与实际支出对比表</w:t>
      </w:r>
    </w:p>
    <w:tbl>
      <w:tblPr>
        <w:tblStyle w:val="8"/>
        <w:tblW w:w="9658" w:type="dxa"/>
        <w:tblInd w:w="0" w:type="dxa"/>
        <w:tblLayout w:type="fixed"/>
        <w:tblCellMar>
          <w:top w:w="0" w:type="dxa"/>
          <w:left w:w="0" w:type="dxa"/>
          <w:bottom w:w="0" w:type="dxa"/>
          <w:right w:w="0" w:type="dxa"/>
        </w:tblCellMar>
      </w:tblPr>
      <w:tblGrid>
        <w:gridCol w:w="666"/>
        <w:gridCol w:w="1605"/>
        <w:gridCol w:w="2115"/>
        <w:gridCol w:w="2151"/>
        <w:gridCol w:w="2259"/>
        <w:gridCol w:w="862"/>
      </w:tblGrid>
      <w:tr w14:paraId="33D9DA7C">
        <w:tblPrEx>
          <w:tblCellMar>
            <w:top w:w="0" w:type="dxa"/>
            <w:left w:w="0" w:type="dxa"/>
            <w:bottom w:w="0" w:type="dxa"/>
            <w:right w:w="0" w:type="dxa"/>
          </w:tblCellMar>
        </w:tblPrEx>
        <w:trPr>
          <w:trHeight w:val="711" w:hRule="atLeast"/>
        </w:trPr>
        <w:tc>
          <w:tcPr>
            <w:tcW w:w="6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5FA206">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4"/>
                <w:szCs w:val="24"/>
                <w:u w:val="none"/>
                <w:lang w:val="en-US" w:eastAsia="zh-CN" w:bidi="ar"/>
              </w:rPr>
              <w:t>序号</w:t>
            </w:r>
          </w:p>
        </w:tc>
        <w:tc>
          <w:tcPr>
            <w:tcW w:w="1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0AF461">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4"/>
                <w:szCs w:val="24"/>
                <w:u w:val="none"/>
                <w:lang w:val="en-US" w:eastAsia="zh-CN" w:bidi="ar"/>
              </w:rPr>
              <w:t>项目</w:t>
            </w:r>
          </w:p>
        </w:tc>
        <w:tc>
          <w:tcPr>
            <w:tcW w:w="21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87BE6D">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4"/>
                <w:szCs w:val="24"/>
                <w:u w:val="none"/>
                <w:lang w:val="en-US" w:eastAsia="zh-CN" w:bidi="ar"/>
              </w:rPr>
              <w:t>实际拨款金额（元）</w:t>
            </w:r>
          </w:p>
        </w:tc>
        <w:tc>
          <w:tcPr>
            <w:tcW w:w="2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CD6834">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4"/>
                <w:szCs w:val="24"/>
                <w:u w:val="none"/>
                <w:lang w:val="en-US" w:eastAsia="zh-CN" w:bidi="ar"/>
              </w:rPr>
              <w:t>实际使用金额（元）</w:t>
            </w:r>
          </w:p>
        </w:tc>
        <w:tc>
          <w:tcPr>
            <w:tcW w:w="22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5AABB2">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4"/>
                <w:szCs w:val="24"/>
                <w:u w:val="none"/>
                <w:lang w:val="en-US" w:eastAsia="zh-CN" w:bidi="ar"/>
              </w:rPr>
              <w:t>差额（拨款-使用）元</w:t>
            </w:r>
          </w:p>
        </w:tc>
        <w:tc>
          <w:tcPr>
            <w:tcW w:w="8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A69ADD">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4"/>
                <w:szCs w:val="24"/>
                <w:u w:val="none"/>
                <w:lang w:val="en-US" w:eastAsia="zh-CN" w:bidi="ar"/>
              </w:rPr>
              <w:t>备注</w:t>
            </w:r>
          </w:p>
        </w:tc>
      </w:tr>
      <w:tr w14:paraId="411D7FE4">
        <w:tblPrEx>
          <w:tblCellMar>
            <w:top w:w="0" w:type="dxa"/>
            <w:left w:w="0" w:type="dxa"/>
            <w:bottom w:w="0" w:type="dxa"/>
            <w:right w:w="0" w:type="dxa"/>
          </w:tblCellMar>
        </w:tblPrEx>
        <w:trPr>
          <w:trHeight w:val="711" w:hRule="atLeast"/>
        </w:trPr>
        <w:tc>
          <w:tcPr>
            <w:tcW w:w="6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BA4500">
            <w:pPr>
              <w:keepNext w:val="0"/>
              <w:keepLines w:val="0"/>
              <w:widowControl/>
              <w:suppressLineNumbers w:val="0"/>
              <w:jc w:val="center"/>
              <w:textAlignment w:val="center"/>
              <w:rPr>
                <w:rFonts w:ascii="宋体" w:hAnsi="宋体" w:cs="宋体"/>
                <w:color w:val="000000" w:themeColor="text1"/>
                <w:sz w:val="24"/>
                <w:highlight w:val="none"/>
              </w:rPr>
            </w:pPr>
            <w:r>
              <w:rPr>
                <w:rFonts w:hint="eastAsia" w:ascii="宋体" w:hAnsi="宋体" w:eastAsia="宋体" w:cs="宋体"/>
                <w:i w:val="0"/>
                <w:iCs w:val="0"/>
                <w:color w:val="000000"/>
                <w:kern w:val="0"/>
                <w:sz w:val="24"/>
                <w:szCs w:val="24"/>
                <w:u w:val="none"/>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84586B">
            <w:pPr>
              <w:keepNext w:val="0"/>
              <w:keepLines w:val="0"/>
              <w:widowControl/>
              <w:suppressLineNumbers w:val="0"/>
              <w:jc w:val="left"/>
              <w:textAlignment w:val="center"/>
              <w:rPr>
                <w:rFonts w:ascii="宋体" w:hAnsi="宋体" w:cs="宋体"/>
                <w:color w:val="000000" w:themeColor="text1"/>
                <w:sz w:val="24"/>
                <w:highlight w:val="none"/>
              </w:rPr>
            </w:pPr>
            <w:r>
              <w:rPr>
                <w:rFonts w:hint="eastAsia" w:ascii="宋体" w:hAnsi="宋体" w:eastAsia="宋体" w:cs="宋体"/>
                <w:i w:val="0"/>
                <w:iCs w:val="0"/>
                <w:color w:val="000000"/>
                <w:kern w:val="0"/>
                <w:sz w:val="24"/>
                <w:szCs w:val="24"/>
                <w:u w:val="none"/>
                <w:lang w:val="en-US" w:eastAsia="zh-CN" w:bidi="ar"/>
              </w:rPr>
              <w:t>一般公共预算</w:t>
            </w:r>
          </w:p>
        </w:tc>
        <w:tc>
          <w:tcPr>
            <w:tcW w:w="21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72269B">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4"/>
                <w:szCs w:val="24"/>
                <w:u w:val="none"/>
                <w:lang w:val="en-US" w:eastAsia="zh-CN" w:bidi="ar"/>
              </w:rPr>
              <w:t xml:space="preserve"> 41,512,819.96 </w:t>
            </w:r>
          </w:p>
        </w:tc>
        <w:tc>
          <w:tcPr>
            <w:tcW w:w="2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5E551D">
            <w:pPr>
              <w:jc w:val="center"/>
              <w:rPr>
                <w:rFonts w:ascii="宋体" w:hAnsi="宋体" w:cs="宋体"/>
                <w:color w:val="auto"/>
                <w:sz w:val="24"/>
                <w:highlight w:val="none"/>
              </w:rPr>
            </w:pPr>
          </w:p>
        </w:tc>
        <w:tc>
          <w:tcPr>
            <w:tcW w:w="22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6F5A14">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4"/>
                <w:szCs w:val="24"/>
                <w:u w:val="none"/>
                <w:lang w:val="en-US" w:eastAsia="zh-CN" w:bidi="ar"/>
              </w:rPr>
              <w:t xml:space="preserve"> 41,512,819.96 </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D91FA4">
            <w:pPr>
              <w:jc w:val="center"/>
              <w:rPr>
                <w:rFonts w:ascii="宋体" w:hAnsi="宋体" w:cs="宋体"/>
                <w:color w:val="auto"/>
                <w:sz w:val="24"/>
                <w:highlight w:val="none"/>
              </w:rPr>
            </w:pPr>
          </w:p>
        </w:tc>
      </w:tr>
      <w:tr w14:paraId="46267A79">
        <w:tblPrEx>
          <w:tblCellMar>
            <w:top w:w="0" w:type="dxa"/>
            <w:left w:w="0" w:type="dxa"/>
            <w:bottom w:w="0" w:type="dxa"/>
            <w:right w:w="0" w:type="dxa"/>
          </w:tblCellMar>
        </w:tblPrEx>
        <w:trPr>
          <w:trHeight w:val="711" w:hRule="atLeast"/>
        </w:trPr>
        <w:tc>
          <w:tcPr>
            <w:tcW w:w="6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B2A39D">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000000"/>
                <w:kern w:val="0"/>
                <w:sz w:val="24"/>
                <w:szCs w:val="24"/>
                <w:u w:val="none"/>
                <w:lang w:val="en-US" w:eastAsia="zh-CN" w:bidi="ar"/>
              </w:rPr>
              <w:t>2</w:t>
            </w:r>
          </w:p>
        </w:tc>
        <w:tc>
          <w:tcPr>
            <w:tcW w:w="1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9E0B3D">
            <w:pPr>
              <w:keepNext w:val="0"/>
              <w:keepLines w:val="0"/>
              <w:widowControl/>
              <w:suppressLineNumbers w:val="0"/>
              <w:jc w:val="left"/>
              <w:textAlignment w:val="center"/>
              <w:rPr>
                <w:rFonts w:ascii="宋体" w:hAnsi="宋体" w:cs="宋体"/>
                <w:color w:val="auto"/>
                <w:sz w:val="24"/>
                <w:highlight w:val="none"/>
              </w:rPr>
            </w:pPr>
            <w:r>
              <w:rPr>
                <w:rFonts w:hint="eastAsia" w:ascii="宋体" w:hAnsi="宋体" w:eastAsia="宋体" w:cs="宋体"/>
                <w:i w:val="0"/>
                <w:iCs w:val="0"/>
                <w:color w:val="000000"/>
                <w:kern w:val="0"/>
                <w:sz w:val="24"/>
                <w:szCs w:val="24"/>
                <w:u w:val="none"/>
                <w:lang w:val="en-US" w:eastAsia="zh-CN" w:bidi="ar"/>
              </w:rPr>
              <w:t>政府性基金</w:t>
            </w:r>
          </w:p>
        </w:tc>
        <w:tc>
          <w:tcPr>
            <w:tcW w:w="21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A646CD">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4"/>
                <w:szCs w:val="24"/>
                <w:u w:val="none"/>
                <w:lang w:val="en-US" w:eastAsia="zh-CN" w:bidi="ar"/>
              </w:rPr>
              <w:t xml:space="preserve"> 276,052,931.00 </w:t>
            </w:r>
          </w:p>
        </w:tc>
        <w:tc>
          <w:tcPr>
            <w:tcW w:w="2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D8C375">
            <w:pPr>
              <w:jc w:val="center"/>
              <w:rPr>
                <w:rFonts w:ascii="宋体" w:hAnsi="宋体" w:cs="宋体"/>
                <w:color w:val="auto"/>
                <w:sz w:val="24"/>
                <w:highlight w:val="none"/>
              </w:rPr>
            </w:pPr>
          </w:p>
        </w:tc>
        <w:tc>
          <w:tcPr>
            <w:tcW w:w="22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126D8A">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4"/>
                <w:szCs w:val="24"/>
                <w:u w:val="none"/>
                <w:lang w:val="en-US" w:eastAsia="zh-CN" w:bidi="ar"/>
              </w:rPr>
              <w:t xml:space="preserve"> 276,052,931.00 </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D933E8">
            <w:pPr>
              <w:jc w:val="both"/>
              <w:rPr>
                <w:rFonts w:ascii="宋体" w:hAnsi="宋体" w:cs="宋体"/>
                <w:color w:val="auto"/>
                <w:sz w:val="24"/>
                <w:highlight w:val="none"/>
              </w:rPr>
            </w:pPr>
          </w:p>
        </w:tc>
      </w:tr>
      <w:tr w14:paraId="6C6F5A2E">
        <w:tblPrEx>
          <w:tblCellMar>
            <w:top w:w="0" w:type="dxa"/>
            <w:left w:w="0" w:type="dxa"/>
            <w:bottom w:w="0" w:type="dxa"/>
            <w:right w:w="0" w:type="dxa"/>
          </w:tblCellMar>
        </w:tblPrEx>
        <w:trPr>
          <w:trHeight w:val="711" w:hRule="atLeast"/>
        </w:trPr>
        <w:tc>
          <w:tcPr>
            <w:tcW w:w="6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871678">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000000"/>
                <w:kern w:val="0"/>
                <w:sz w:val="24"/>
                <w:szCs w:val="24"/>
                <w:u w:val="none"/>
                <w:lang w:val="en-US" w:eastAsia="zh-CN" w:bidi="ar"/>
              </w:rPr>
              <w:t>3</w:t>
            </w:r>
          </w:p>
        </w:tc>
        <w:tc>
          <w:tcPr>
            <w:tcW w:w="1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F5DFD6">
            <w:pPr>
              <w:keepNext w:val="0"/>
              <w:keepLines w:val="0"/>
              <w:widowControl/>
              <w:suppressLineNumbers w:val="0"/>
              <w:jc w:val="left"/>
              <w:textAlignment w:val="center"/>
              <w:rPr>
                <w:rFonts w:ascii="宋体" w:hAnsi="宋体" w:cs="宋体"/>
                <w:color w:val="auto"/>
                <w:sz w:val="24"/>
                <w:highlight w:val="none"/>
              </w:rPr>
            </w:pPr>
            <w:r>
              <w:rPr>
                <w:rFonts w:hint="eastAsia" w:ascii="宋体" w:hAnsi="宋体" w:eastAsia="宋体" w:cs="宋体"/>
                <w:i w:val="0"/>
                <w:iCs w:val="0"/>
                <w:color w:val="000000"/>
                <w:kern w:val="0"/>
                <w:sz w:val="24"/>
                <w:szCs w:val="24"/>
                <w:u w:val="none"/>
                <w:lang w:val="en-US" w:eastAsia="zh-CN" w:bidi="ar"/>
              </w:rPr>
              <w:t>基本支出</w:t>
            </w:r>
          </w:p>
        </w:tc>
        <w:tc>
          <w:tcPr>
            <w:tcW w:w="21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6310AC">
            <w:pPr>
              <w:jc w:val="center"/>
              <w:rPr>
                <w:color w:val="auto"/>
                <w:highlight w:val="none"/>
              </w:rPr>
            </w:pPr>
          </w:p>
        </w:tc>
        <w:tc>
          <w:tcPr>
            <w:tcW w:w="2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7B18BF">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4"/>
                <w:szCs w:val="24"/>
                <w:u w:val="none"/>
                <w:lang w:val="en-US" w:eastAsia="zh-CN" w:bidi="ar"/>
              </w:rPr>
              <w:t xml:space="preserve"> 8,986,781.81 </w:t>
            </w:r>
          </w:p>
        </w:tc>
        <w:tc>
          <w:tcPr>
            <w:tcW w:w="22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8D4830">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4"/>
                <w:szCs w:val="24"/>
                <w:u w:val="none"/>
                <w:lang w:val="en-US" w:eastAsia="zh-CN" w:bidi="ar"/>
              </w:rPr>
              <w:t xml:space="preserve"> -8,986,781.81 </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1CC47B">
            <w:pPr>
              <w:jc w:val="both"/>
              <w:rPr>
                <w:rFonts w:ascii="宋体" w:hAnsi="宋体" w:cs="宋体"/>
                <w:color w:val="auto"/>
                <w:sz w:val="24"/>
                <w:highlight w:val="none"/>
              </w:rPr>
            </w:pPr>
          </w:p>
        </w:tc>
      </w:tr>
      <w:tr w14:paraId="02B57675">
        <w:tblPrEx>
          <w:tblCellMar>
            <w:top w:w="0" w:type="dxa"/>
            <w:left w:w="0" w:type="dxa"/>
            <w:bottom w:w="0" w:type="dxa"/>
            <w:right w:w="0" w:type="dxa"/>
          </w:tblCellMar>
        </w:tblPrEx>
        <w:trPr>
          <w:trHeight w:val="711" w:hRule="atLeast"/>
        </w:trPr>
        <w:tc>
          <w:tcPr>
            <w:tcW w:w="6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AEFC98">
            <w:pPr>
              <w:keepNext w:val="0"/>
              <w:keepLines w:val="0"/>
              <w:widowControl/>
              <w:suppressLineNumbers w:val="0"/>
              <w:jc w:val="center"/>
              <w:textAlignment w:val="center"/>
              <w:rPr>
                <w:rFonts w:ascii="宋体" w:hAnsi="宋体" w:cs="宋体"/>
                <w:color w:val="auto"/>
                <w:kern w:val="0"/>
                <w:sz w:val="24"/>
                <w:highlight w:val="none"/>
              </w:rPr>
            </w:pPr>
            <w:r>
              <w:rPr>
                <w:rFonts w:hint="eastAsia" w:ascii="宋体" w:hAnsi="宋体" w:eastAsia="宋体" w:cs="宋体"/>
                <w:i w:val="0"/>
                <w:iCs w:val="0"/>
                <w:color w:val="000000"/>
                <w:kern w:val="0"/>
                <w:sz w:val="24"/>
                <w:szCs w:val="24"/>
                <w:u w:val="none"/>
                <w:lang w:val="en-US" w:eastAsia="zh-CN" w:bidi="ar"/>
              </w:rPr>
              <w:t>4</w:t>
            </w:r>
          </w:p>
        </w:tc>
        <w:tc>
          <w:tcPr>
            <w:tcW w:w="1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EC4259">
            <w:pPr>
              <w:keepNext w:val="0"/>
              <w:keepLines w:val="0"/>
              <w:widowControl/>
              <w:suppressLineNumbers w:val="0"/>
              <w:jc w:val="both"/>
              <w:textAlignment w:val="center"/>
              <w:rPr>
                <w:rFonts w:ascii="宋体" w:hAnsi="宋体" w:cs="宋体"/>
                <w:color w:val="auto"/>
                <w:kern w:val="0"/>
                <w:sz w:val="24"/>
                <w:highlight w:val="none"/>
              </w:rPr>
            </w:pPr>
            <w:r>
              <w:rPr>
                <w:rFonts w:hint="eastAsia" w:ascii="宋体" w:hAnsi="宋体" w:eastAsia="宋体" w:cs="宋体"/>
                <w:i w:val="0"/>
                <w:iCs w:val="0"/>
                <w:color w:val="000000"/>
                <w:kern w:val="0"/>
                <w:sz w:val="24"/>
                <w:szCs w:val="24"/>
                <w:u w:val="none"/>
                <w:lang w:val="en-US" w:eastAsia="zh-CN" w:bidi="ar"/>
              </w:rPr>
              <w:t>项目支出</w:t>
            </w:r>
          </w:p>
        </w:tc>
        <w:tc>
          <w:tcPr>
            <w:tcW w:w="21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97EBDD">
            <w:pPr>
              <w:jc w:val="center"/>
              <w:rPr>
                <w:rFonts w:ascii="宋体" w:hAnsi="宋体" w:cs="宋体"/>
                <w:color w:val="auto"/>
                <w:kern w:val="0"/>
                <w:sz w:val="24"/>
                <w:highlight w:val="none"/>
              </w:rPr>
            </w:pPr>
          </w:p>
        </w:tc>
        <w:tc>
          <w:tcPr>
            <w:tcW w:w="2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FA8F91">
            <w:pPr>
              <w:keepNext w:val="0"/>
              <w:keepLines w:val="0"/>
              <w:widowControl/>
              <w:suppressLineNumbers w:val="0"/>
              <w:jc w:val="center"/>
              <w:textAlignment w:val="center"/>
              <w:rPr>
                <w:rFonts w:ascii="宋体" w:hAnsi="宋体" w:cs="宋体"/>
                <w:color w:val="auto"/>
                <w:kern w:val="0"/>
                <w:sz w:val="24"/>
                <w:highlight w:val="none"/>
              </w:rPr>
            </w:pPr>
            <w:r>
              <w:rPr>
                <w:rFonts w:hint="eastAsia" w:ascii="宋体" w:hAnsi="宋体" w:eastAsia="宋体" w:cs="宋体"/>
                <w:i w:val="0"/>
                <w:iCs w:val="0"/>
                <w:color w:val="auto"/>
                <w:kern w:val="0"/>
                <w:sz w:val="24"/>
                <w:szCs w:val="24"/>
                <w:u w:val="none"/>
                <w:lang w:val="en-US" w:eastAsia="zh-CN" w:bidi="ar"/>
              </w:rPr>
              <w:t>308,578,969.15</w:t>
            </w:r>
          </w:p>
        </w:tc>
        <w:tc>
          <w:tcPr>
            <w:tcW w:w="22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B0C09C">
            <w:pPr>
              <w:keepNext w:val="0"/>
              <w:keepLines w:val="0"/>
              <w:widowControl/>
              <w:suppressLineNumbers w:val="0"/>
              <w:jc w:val="center"/>
              <w:textAlignment w:val="center"/>
              <w:rPr>
                <w:rFonts w:ascii="宋体" w:hAnsi="宋体" w:cs="宋体"/>
                <w:color w:val="auto"/>
                <w:kern w:val="0"/>
                <w:sz w:val="24"/>
                <w:highlight w:val="none"/>
              </w:rPr>
            </w:pPr>
            <w:r>
              <w:rPr>
                <w:rFonts w:hint="eastAsia" w:ascii="宋体" w:hAnsi="宋体" w:eastAsia="宋体" w:cs="宋体"/>
                <w:i w:val="0"/>
                <w:iCs w:val="0"/>
                <w:color w:val="auto"/>
                <w:kern w:val="0"/>
                <w:sz w:val="24"/>
                <w:szCs w:val="24"/>
                <w:u w:val="none"/>
                <w:lang w:val="en-US" w:eastAsia="zh-CN" w:bidi="ar"/>
              </w:rPr>
              <w:t xml:space="preserve"> -308,578,969.15 </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79F96C">
            <w:pPr>
              <w:jc w:val="both"/>
              <w:rPr>
                <w:rFonts w:ascii="宋体" w:hAnsi="宋体" w:cs="宋体"/>
                <w:color w:val="auto"/>
                <w:sz w:val="24"/>
                <w:highlight w:val="none"/>
              </w:rPr>
            </w:pPr>
          </w:p>
        </w:tc>
      </w:tr>
      <w:tr w14:paraId="7CB00178">
        <w:tblPrEx>
          <w:tblCellMar>
            <w:top w:w="0" w:type="dxa"/>
            <w:left w:w="0" w:type="dxa"/>
            <w:bottom w:w="0" w:type="dxa"/>
            <w:right w:w="0" w:type="dxa"/>
          </w:tblCellMar>
        </w:tblPrEx>
        <w:trPr>
          <w:trHeight w:val="711" w:hRule="atLeast"/>
        </w:trPr>
        <w:tc>
          <w:tcPr>
            <w:tcW w:w="6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6AEF58">
            <w:pPr>
              <w:jc w:val="both"/>
              <w:rPr>
                <w:rFonts w:hint="eastAsia" w:ascii="宋体" w:hAnsi="宋体" w:cs="宋体"/>
                <w:color w:val="auto"/>
                <w:kern w:val="0"/>
                <w:sz w:val="24"/>
                <w:highlight w:val="none"/>
              </w:rPr>
            </w:pPr>
          </w:p>
        </w:tc>
        <w:tc>
          <w:tcPr>
            <w:tcW w:w="1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EDFC64">
            <w:pPr>
              <w:keepNext w:val="0"/>
              <w:keepLines w:val="0"/>
              <w:widowControl/>
              <w:suppressLineNumbers w:val="0"/>
              <w:jc w:val="both"/>
              <w:textAlignment w:val="center"/>
              <w:rPr>
                <w:rFonts w:hint="eastAsia" w:ascii="宋体" w:hAnsi="宋体" w:cs="宋体"/>
                <w:color w:val="auto"/>
                <w:kern w:val="0"/>
                <w:sz w:val="24"/>
                <w:highlight w:val="none"/>
              </w:rPr>
            </w:pPr>
            <w:r>
              <w:rPr>
                <w:rFonts w:hint="eastAsia" w:ascii="宋体" w:hAnsi="宋体" w:eastAsia="宋体" w:cs="宋体"/>
                <w:i w:val="0"/>
                <w:iCs w:val="0"/>
                <w:color w:val="auto"/>
                <w:kern w:val="0"/>
                <w:sz w:val="24"/>
                <w:szCs w:val="24"/>
                <w:u w:val="none"/>
                <w:lang w:val="en-US" w:eastAsia="zh-CN" w:bidi="ar"/>
              </w:rPr>
              <w:t>合计</w:t>
            </w:r>
          </w:p>
        </w:tc>
        <w:tc>
          <w:tcPr>
            <w:tcW w:w="21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E992E3">
            <w:pPr>
              <w:keepNext w:val="0"/>
              <w:keepLines w:val="0"/>
              <w:widowControl/>
              <w:suppressLineNumbers w:val="0"/>
              <w:jc w:val="center"/>
              <w:textAlignment w:val="center"/>
              <w:rPr>
                <w:rFonts w:hint="eastAsia" w:ascii="宋体" w:hAnsi="宋体" w:cs="宋体"/>
                <w:color w:val="auto"/>
                <w:kern w:val="0"/>
                <w:sz w:val="24"/>
                <w:highlight w:val="none"/>
              </w:rPr>
            </w:pPr>
            <w:r>
              <w:rPr>
                <w:rFonts w:hint="eastAsia" w:ascii="宋体" w:hAnsi="宋体" w:eastAsia="宋体" w:cs="宋体"/>
                <w:i w:val="0"/>
                <w:iCs w:val="0"/>
                <w:color w:val="auto"/>
                <w:kern w:val="0"/>
                <w:sz w:val="24"/>
                <w:szCs w:val="24"/>
                <w:u w:val="none"/>
                <w:lang w:val="en-US" w:eastAsia="zh-CN" w:bidi="ar"/>
              </w:rPr>
              <w:t>317,565,750.96</w:t>
            </w:r>
          </w:p>
        </w:tc>
        <w:tc>
          <w:tcPr>
            <w:tcW w:w="2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549C04">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4"/>
                <w:szCs w:val="24"/>
                <w:u w:val="none"/>
                <w:lang w:val="en-US" w:eastAsia="zh-CN" w:bidi="ar"/>
              </w:rPr>
              <w:t>317,565,750.96</w:t>
            </w:r>
          </w:p>
        </w:tc>
        <w:tc>
          <w:tcPr>
            <w:tcW w:w="22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DFDA46">
            <w:pPr>
              <w:keepNext w:val="0"/>
              <w:keepLines w:val="0"/>
              <w:widowControl/>
              <w:suppressLineNumbers w:val="0"/>
              <w:jc w:val="center"/>
              <w:textAlignment w:val="center"/>
              <w:rPr>
                <w:rFonts w:hint="eastAsia" w:ascii="宋体" w:hAnsi="宋体" w:cs="宋体"/>
                <w:color w:val="auto"/>
                <w:kern w:val="0"/>
                <w:sz w:val="24"/>
                <w:highlight w:val="none"/>
              </w:rPr>
            </w:pPr>
            <w:r>
              <w:rPr>
                <w:rFonts w:hint="eastAsia" w:ascii="宋体" w:hAnsi="宋体" w:eastAsia="宋体" w:cs="宋体"/>
                <w:i w:val="0"/>
                <w:iCs w:val="0"/>
                <w:color w:val="auto"/>
                <w:kern w:val="0"/>
                <w:sz w:val="24"/>
                <w:szCs w:val="24"/>
                <w:u w:val="none"/>
                <w:lang w:val="en-US" w:eastAsia="zh-CN" w:bidi="ar"/>
              </w:rPr>
              <w:t>0.00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1823F8">
            <w:pPr>
              <w:keepNext w:val="0"/>
              <w:keepLines w:val="0"/>
              <w:widowControl/>
              <w:suppressLineNumbers w:val="0"/>
              <w:jc w:val="center"/>
              <w:textAlignment w:val="center"/>
              <w:rPr>
                <w:rFonts w:ascii="宋体" w:hAnsi="宋体" w:cs="宋体"/>
                <w:color w:val="auto"/>
                <w:sz w:val="24"/>
                <w:highlight w:val="none"/>
              </w:rPr>
            </w:pPr>
          </w:p>
        </w:tc>
      </w:tr>
    </w:tbl>
    <w:p w14:paraId="70F6B0E1">
      <w:pPr>
        <w:spacing w:line="360" w:lineRule="auto"/>
        <w:ind w:firstLine="602" w:firstLineChars="200"/>
        <w:rPr>
          <w:rFonts w:hint="eastAsia" w:ascii="宋体" w:hAnsi="宋体" w:eastAsia="宋体" w:cs="宋体"/>
          <w:b/>
          <w:bCs/>
          <w:color w:val="000000" w:themeColor="text1"/>
          <w:kern w:val="0"/>
          <w:sz w:val="30"/>
          <w:szCs w:val="30"/>
        </w:rPr>
      </w:pPr>
      <w:r>
        <w:rPr>
          <w:rFonts w:hint="eastAsia" w:ascii="宋体" w:hAnsi="宋体" w:eastAsia="宋体" w:cs="宋体"/>
          <w:b/>
          <w:bCs/>
          <w:color w:val="000000" w:themeColor="text1"/>
          <w:kern w:val="0"/>
          <w:sz w:val="30"/>
          <w:szCs w:val="30"/>
        </w:rPr>
        <w:t>（一）基本支出</w:t>
      </w:r>
    </w:p>
    <w:p w14:paraId="5740825C">
      <w:pPr>
        <w:spacing w:line="360" w:lineRule="auto"/>
        <w:ind w:firstLine="602" w:firstLineChars="200"/>
        <w:rPr>
          <w:rFonts w:hint="eastAsia" w:ascii="宋体" w:hAnsi="宋体" w:eastAsia="宋体" w:cs="宋体"/>
          <w:b/>
          <w:bCs/>
          <w:color w:val="000000" w:themeColor="text1"/>
          <w:sz w:val="30"/>
          <w:szCs w:val="30"/>
          <w:highlight w:val="none"/>
        </w:rPr>
      </w:pPr>
      <w:r>
        <w:rPr>
          <w:rFonts w:hint="eastAsia" w:ascii="宋体" w:hAnsi="宋体" w:eastAsia="宋体" w:cs="宋体"/>
          <w:b/>
          <w:bCs/>
          <w:color w:val="000000" w:themeColor="text1"/>
          <w:sz w:val="30"/>
          <w:szCs w:val="30"/>
          <w:highlight w:val="none"/>
        </w:rPr>
        <w:t>1、基本支出</w:t>
      </w:r>
    </w:p>
    <w:p w14:paraId="160B9FA2">
      <w:pPr>
        <w:spacing w:line="360" w:lineRule="auto"/>
        <w:ind w:firstLine="602" w:firstLineChars="200"/>
        <w:rPr>
          <w:rFonts w:hint="eastAsia" w:ascii="宋体" w:hAnsi="宋体" w:eastAsia="宋体" w:cs="宋体"/>
          <w:b/>
          <w:bCs/>
          <w:color w:val="000000" w:themeColor="text1"/>
          <w:sz w:val="30"/>
          <w:szCs w:val="30"/>
          <w:highlight w:val="none"/>
        </w:rPr>
      </w:pPr>
      <w:r>
        <w:rPr>
          <w:rFonts w:hint="eastAsia" w:ascii="宋体" w:hAnsi="宋体" w:eastAsia="宋体" w:cs="宋体"/>
          <w:b/>
          <w:bCs/>
          <w:color w:val="000000" w:themeColor="text1"/>
          <w:sz w:val="30"/>
          <w:szCs w:val="30"/>
          <w:highlight w:val="none"/>
        </w:rPr>
        <w:t>1.1、基本支出明细情况</w:t>
      </w:r>
    </w:p>
    <w:p w14:paraId="3EF105A1">
      <w:pPr>
        <w:wordWrap w:val="0"/>
        <w:spacing w:line="360" w:lineRule="auto"/>
        <w:ind w:firstLine="600" w:firstLineChars="200"/>
        <w:jc w:val="left"/>
        <w:rPr>
          <w:rFonts w:hint="eastAsia" w:ascii="宋体" w:hAnsi="宋体" w:eastAsia="宋体" w:cs="宋体"/>
          <w:bCs/>
          <w:color w:val="auto"/>
          <w:sz w:val="30"/>
          <w:szCs w:val="30"/>
          <w:highlight w:val="none"/>
        </w:rPr>
      </w:pPr>
      <w:r>
        <w:rPr>
          <w:rFonts w:hint="eastAsia" w:ascii="宋体" w:hAnsi="宋体" w:eastAsia="宋体" w:cs="宋体"/>
          <w:color w:val="auto"/>
          <w:sz w:val="30"/>
          <w:szCs w:val="30"/>
          <w:highlight w:val="none"/>
        </w:rPr>
        <w:t>基本支出用于为保障机构正常运转、完成日常工作任务而发生的支出，包括工资福利支出、一般商品和服务支出、对个人和家庭的补助等。我局</w:t>
      </w:r>
      <w:r>
        <w:rPr>
          <w:rFonts w:hint="eastAsia" w:ascii="宋体" w:hAnsi="宋体" w:eastAsia="宋体" w:cs="宋体"/>
          <w:color w:val="auto"/>
          <w:sz w:val="30"/>
          <w:szCs w:val="30"/>
          <w:highlight w:val="none"/>
          <w:lang w:eastAsia="zh-CN"/>
        </w:rPr>
        <w:t>2023年</w:t>
      </w:r>
      <w:r>
        <w:rPr>
          <w:rFonts w:hint="eastAsia" w:ascii="宋体" w:hAnsi="宋体" w:eastAsia="宋体" w:cs="宋体"/>
          <w:color w:val="auto"/>
          <w:sz w:val="30"/>
          <w:szCs w:val="30"/>
          <w:highlight w:val="none"/>
        </w:rPr>
        <w:t>度基本支出8,986,781.81元，其中：人员经费支出</w:t>
      </w:r>
      <w:r>
        <w:rPr>
          <w:rFonts w:hint="eastAsia" w:ascii="宋体" w:hAnsi="宋体" w:eastAsia="宋体" w:cs="宋体"/>
          <w:color w:val="auto"/>
          <w:sz w:val="30"/>
          <w:szCs w:val="30"/>
          <w:highlight w:val="none"/>
          <w:lang w:val="en-US" w:eastAsia="zh-CN"/>
        </w:rPr>
        <w:t>6,342,347.00</w:t>
      </w:r>
      <w:r>
        <w:rPr>
          <w:rFonts w:hint="eastAsia" w:ascii="宋体" w:hAnsi="宋体" w:eastAsia="宋体" w:cs="宋体"/>
          <w:color w:val="auto"/>
          <w:sz w:val="30"/>
          <w:szCs w:val="30"/>
          <w:highlight w:val="none"/>
        </w:rPr>
        <w:t>元，日常公用经费支出</w:t>
      </w:r>
      <w:r>
        <w:rPr>
          <w:rFonts w:hint="eastAsia" w:ascii="宋体" w:hAnsi="宋体" w:eastAsia="宋体" w:cs="宋体"/>
          <w:color w:val="auto"/>
          <w:kern w:val="0"/>
          <w:sz w:val="30"/>
          <w:szCs w:val="30"/>
          <w:highlight w:val="none"/>
          <w:lang w:val="en-US" w:eastAsia="zh-CN"/>
        </w:rPr>
        <w:t>2,</w:t>
      </w:r>
      <w:r>
        <w:rPr>
          <w:rFonts w:hint="eastAsia" w:ascii="宋体" w:hAnsi="宋体" w:eastAsia="宋体" w:cs="宋体"/>
          <w:color w:val="auto"/>
          <w:sz w:val="30"/>
          <w:szCs w:val="30"/>
          <w:highlight w:val="none"/>
          <w:lang w:val="en-US" w:eastAsia="zh-CN"/>
        </w:rPr>
        <w:t>644,434.81</w:t>
      </w:r>
      <w:r>
        <w:rPr>
          <w:rFonts w:hint="eastAsia" w:ascii="宋体" w:hAnsi="宋体" w:eastAsia="宋体" w:cs="宋体"/>
          <w:color w:val="auto"/>
          <w:sz w:val="30"/>
          <w:szCs w:val="30"/>
          <w:highlight w:val="none"/>
        </w:rPr>
        <w:t>元。收入支出明细如下：</w:t>
      </w:r>
      <w:r>
        <w:rPr>
          <w:rFonts w:hint="eastAsia" w:ascii="宋体" w:hAnsi="宋体" w:eastAsia="宋体" w:cs="宋体"/>
          <w:color w:val="auto"/>
          <w:sz w:val="30"/>
          <w:szCs w:val="30"/>
          <w:highlight w:val="none"/>
          <w:lang w:val="en-US" w:eastAsia="zh-CN"/>
        </w:rPr>
        <w:t xml:space="preserve">                                                                   </w:t>
      </w:r>
      <w:r>
        <w:rPr>
          <w:rFonts w:hint="eastAsia" w:ascii="宋体" w:hAnsi="宋体" w:eastAsia="宋体" w:cs="宋体"/>
          <w:bCs/>
          <w:color w:val="auto"/>
          <w:sz w:val="30"/>
          <w:szCs w:val="30"/>
          <w:highlight w:val="none"/>
        </w:rPr>
        <w:t xml:space="preserve">单位：元    </w:t>
      </w:r>
    </w:p>
    <w:tbl>
      <w:tblPr>
        <w:tblStyle w:val="8"/>
        <w:tblW w:w="9645" w:type="dxa"/>
        <w:tblInd w:w="51" w:type="dxa"/>
        <w:tblLayout w:type="fixed"/>
        <w:tblCellMar>
          <w:top w:w="0" w:type="dxa"/>
          <w:left w:w="0" w:type="dxa"/>
          <w:bottom w:w="0" w:type="dxa"/>
          <w:right w:w="0" w:type="dxa"/>
        </w:tblCellMar>
      </w:tblPr>
      <w:tblGrid>
        <w:gridCol w:w="900"/>
        <w:gridCol w:w="2280"/>
        <w:gridCol w:w="2115"/>
        <w:gridCol w:w="2145"/>
        <w:gridCol w:w="2205"/>
      </w:tblGrid>
      <w:tr w14:paraId="00DADD1F">
        <w:tblPrEx>
          <w:tblCellMar>
            <w:top w:w="0" w:type="dxa"/>
            <w:left w:w="0" w:type="dxa"/>
            <w:bottom w:w="0" w:type="dxa"/>
            <w:right w:w="0" w:type="dxa"/>
          </w:tblCellMar>
        </w:tblPrEx>
        <w:trPr>
          <w:trHeight w:val="526" w:hRule="atLeast"/>
        </w:trPr>
        <w:tc>
          <w:tcPr>
            <w:tcW w:w="90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2EED930A">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4"/>
                <w:szCs w:val="24"/>
                <w:u w:val="none"/>
                <w:lang w:val="en-US" w:eastAsia="zh-CN" w:bidi="ar"/>
              </w:rPr>
              <w:t>序号</w:t>
            </w:r>
          </w:p>
        </w:tc>
        <w:tc>
          <w:tcPr>
            <w:tcW w:w="2280"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14:paraId="3D64C324">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4"/>
                <w:szCs w:val="24"/>
                <w:u w:val="none"/>
                <w:lang w:val="en-US" w:eastAsia="zh-CN" w:bidi="ar"/>
              </w:rPr>
              <w:t>项目名称</w:t>
            </w:r>
          </w:p>
        </w:tc>
        <w:tc>
          <w:tcPr>
            <w:tcW w:w="2115"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14:paraId="0344ECBE">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4"/>
                <w:szCs w:val="24"/>
                <w:u w:val="none"/>
                <w:lang w:val="en-US" w:eastAsia="zh-CN" w:bidi="ar"/>
              </w:rPr>
              <w:t>预算收入金额</w:t>
            </w:r>
          </w:p>
        </w:tc>
        <w:tc>
          <w:tcPr>
            <w:tcW w:w="2145"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14:paraId="004138C8">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4"/>
                <w:szCs w:val="24"/>
                <w:u w:val="none"/>
                <w:lang w:val="en-US" w:eastAsia="zh-CN" w:bidi="ar"/>
              </w:rPr>
              <w:t>支出金额</w:t>
            </w:r>
          </w:p>
        </w:tc>
        <w:tc>
          <w:tcPr>
            <w:tcW w:w="2205"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14:paraId="26D5DDB8">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4"/>
                <w:szCs w:val="24"/>
                <w:u w:val="none"/>
                <w:lang w:val="en-US" w:eastAsia="zh-CN" w:bidi="ar"/>
              </w:rPr>
              <w:t>结转结余金额</w:t>
            </w:r>
          </w:p>
        </w:tc>
      </w:tr>
      <w:tr w14:paraId="40734C42">
        <w:tblPrEx>
          <w:tblCellMar>
            <w:top w:w="0" w:type="dxa"/>
            <w:left w:w="0" w:type="dxa"/>
            <w:bottom w:w="0" w:type="dxa"/>
            <w:right w:w="0" w:type="dxa"/>
          </w:tblCellMar>
        </w:tblPrEx>
        <w:trPr>
          <w:trHeight w:val="534" w:hRule="atLeast"/>
        </w:trPr>
        <w:tc>
          <w:tcPr>
            <w:tcW w:w="90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2B5799D7">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4"/>
                <w:szCs w:val="24"/>
                <w:u w:val="none"/>
                <w:lang w:val="en-US" w:eastAsia="zh-CN" w:bidi="ar"/>
              </w:rPr>
              <w:t>1</w:t>
            </w:r>
          </w:p>
        </w:tc>
        <w:tc>
          <w:tcPr>
            <w:tcW w:w="2280" w:type="dxa"/>
            <w:tcBorders>
              <w:top w:val="nil"/>
              <w:left w:val="nil"/>
              <w:bottom w:val="single" w:color="000000" w:sz="8" w:space="0"/>
              <w:right w:val="single" w:color="000000" w:sz="8" w:space="0"/>
            </w:tcBorders>
            <w:tcMar>
              <w:top w:w="15" w:type="dxa"/>
              <w:left w:w="15" w:type="dxa"/>
              <w:right w:w="15" w:type="dxa"/>
            </w:tcMar>
            <w:vAlign w:val="center"/>
          </w:tcPr>
          <w:p w14:paraId="3EC72840">
            <w:pPr>
              <w:keepNext w:val="0"/>
              <w:keepLines w:val="0"/>
              <w:widowControl/>
              <w:suppressLineNumbers w:val="0"/>
              <w:jc w:val="both"/>
              <w:textAlignment w:val="center"/>
              <w:rPr>
                <w:rFonts w:ascii="宋体" w:hAnsi="宋体" w:cs="宋体"/>
                <w:color w:val="auto"/>
                <w:sz w:val="24"/>
                <w:highlight w:val="none"/>
              </w:rPr>
            </w:pPr>
            <w:r>
              <w:rPr>
                <w:rFonts w:hint="eastAsia" w:ascii="宋体" w:hAnsi="宋体" w:eastAsia="宋体" w:cs="宋体"/>
                <w:i w:val="0"/>
                <w:iCs w:val="0"/>
                <w:color w:val="auto"/>
                <w:kern w:val="0"/>
                <w:sz w:val="24"/>
                <w:szCs w:val="24"/>
                <w:u w:val="none"/>
                <w:lang w:val="en-US" w:eastAsia="zh-CN" w:bidi="ar"/>
              </w:rPr>
              <w:t>人员经费</w:t>
            </w:r>
          </w:p>
        </w:tc>
        <w:tc>
          <w:tcPr>
            <w:tcW w:w="2115" w:type="dxa"/>
            <w:tcBorders>
              <w:top w:val="nil"/>
              <w:left w:val="nil"/>
              <w:bottom w:val="single" w:color="000000" w:sz="8" w:space="0"/>
              <w:right w:val="single" w:color="000000" w:sz="8" w:space="0"/>
            </w:tcBorders>
            <w:tcMar>
              <w:top w:w="15" w:type="dxa"/>
              <w:left w:w="15" w:type="dxa"/>
              <w:right w:w="15" w:type="dxa"/>
            </w:tcMar>
            <w:vAlign w:val="center"/>
          </w:tcPr>
          <w:p w14:paraId="7B167E28">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4"/>
                <w:szCs w:val="24"/>
                <w:u w:val="none"/>
                <w:lang w:val="en-US" w:eastAsia="zh-CN" w:bidi="ar"/>
              </w:rPr>
              <w:t>6,342,347.00</w:t>
            </w:r>
          </w:p>
        </w:tc>
        <w:tc>
          <w:tcPr>
            <w:tcW w:w="2145" w:type="dxa"/>
            <w:tcBorders>
              <w:top w:val="nil"/>
              <w:left w:val="nil"/>
              <w:bottom w:val="single" w:color="000000" w:sz="8" w:space="0"/>
              <w:right w:val="single" w:color="000000" w:sz="8" w:space="0"/>
            </w:tcBorders>
            <w:tcMar>
              <w:top w:w="15" w:type="dxa"/>
              <w:left w:w="15" w:type="dxa"/>
              <w:right w:w="15" w:type="dxa"/>
            </w:tcMar>
            <w:vAlign w:val="center"/>
          </w:tcPr>
          <w:p w14:paraId="3934FD9E">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4"/>
                <w:szCs w:val="24"/>
                <w:u w:val="none"/>
                <w:lang w:val="en-US" w:eastAsia="zh-CN" w:bidi="ar"/>
              </w:rPr>
              <w:t>6,342,347.00</w:t>
            </w:r>
          </w:p>
        </w:tc>
        <w:tc>
          <w:tcPr>
            <w:tcW w:w="2205" w:type="dxa"/>
            <w:tcBorders>
              <w:top w:val="nil"/>
              <w:left w:val="nil"/>
              <w:bottom w:val="single" w:color="000000" w:sz="8" w:space="0"/>
              <w:right w:val="single" w:color="000000" w:sz="8" w:space="0"/>
            </w:tcBorders>
            <w:tcMar>
              <w:top w:w="15" w:type="dxa"/>
              <w:left w:w="15" w:type="dxa"/>
              <w:right w:w="15" w:type="dxa"/>
            </w:tcMar>
            <w:vAlign w:val="center"/>
          </w:tcPr>
          <w:p w14:paraId="385FF903">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4"/>
                <w:szCs w:val="24"/>
                <w:u w:val="none"/>
                <w:lang w:val="en-US" w:eastAsia="zh-CN" w:bidi="ar"/>
              </w:rPr>
              <w:t xml:space="preserve">0.00 </w:t>
            </w:r>
          </w:p>
        </w:tc>
      </w:tr>
      <w:tr w14:paraId="2BFFEE16">
        <w:tblPrEx>
          <w:tblCellMar>
            <w:top w:w="0" w:type="dxa"/>
            <w:left w:w="0" w:type="dxa"/>
            <w:bottom w:w="0" w:type="dxa"/>
            <w:right w:w="0" w:type="dxa"/>
          </w:tblCellMar>
        </w:tblPrEx>
        <w:trPr>
          <w:trHeight w:val="546" w:hRule="atLeast"/>
        </w:trPr>
        <w:tc>
          <w:tcPr>
            <w:tcW w:w="90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0A6F233C">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4"/>
                <w:szCs w:val="24"/>
                <w:u w:val="none"/>
                <w:lang w:val="en-US" w:eastAsia="zh-CN" w:bidi="ar"/>
              </w:rPr>
              <w:t>2</w:t>
            </w:r>
          </w:p>
        </w:tc>
        <w:tc>
          <w:tcPr>
            <w:tcW w:w="2280" w:type="dxa"/>
            <w:tcBorders>
              <w:top w:val="nil"/>
              <w:left w:val="nil"/>
              <w:bottom w:val="single" w:color="000000" w:sz="8" w:space="0"/>
              <w:right w:val="single" w:color="000000" w:sz="8" w:space="0"/>
            </w:tcBorders>
            <w:tcMar>
              <w:top w:w="15" w:type="dxa"/>
              <w:left w:w="15" w:type="dxa"/>
              <w:right w:w="15" w:type="dxa"/>
            </w:tcMar>
            <w:vAlign w:val="center"/>
          </w:tcPr>
          <w:p w14:paraId="60959021">
            <w:pPr>
              <w:keepNext w:val="0"/>
              <w:keepLines w:val="0"/>
              <w:widowControl/>
              <w:suppressLineNumbers w:val="0"/>
              <w:jc w:val="both"/>
              <w:textAlignment w:val="center"/>
              <w:rPr>
                <w:rFonts w:ascii="宋体" w:hAnsi="宋体" w:cs="宋体"/>
                <w:color w:val="auto"/>
                <w:sz w:val="24"/>
                <w:highlight w:val="none"/>
              </w:rPr>
            </w:pPr>
            <w:r>
              <w:rPr>
                <w:rFonts w:hint="eastAsia" w:ascii="宋体" w:hAnsi="宋体" w:eastAsia="宋体" w:cs="宋体"/>
                <w:i w:val="0"/>
                <w:iCs w:val="0"/>
                <w:color w:val="auto"/>
                <w:kern w:val="0"/>
                <w:sz w:val="24"/>
                <w:szCs w:val="24"/>
                <w:u w:val="none"/>
                <w:lang w:val="en-US" w:eastAsia="zh-CN" w:bidi="ar"/>
              </w:rPr>
              <w:t>公用经费</w:t>
            </w:r>
          </w:p>
        </w:tc>
        <w:tc>
          <w:tcPr>
            <w:tcW w:w="2115" w:type="dxa"/>
            <w:tcBorders>
              <w:top w:val="nil"/>
              <w:left w:val="nil"/>
              <w:bottom w:val="single" w:color="000000" w:sz="8" w:space="0"/>
              <w:right w:val="single" w:color="000000" w:sz="8" w:space="0"/>
            </w:tcBorders>
            <w:tcMar>
              <w:top w:w="15" w:type="dxa"/>
              <w:left w:w="15" w:type="dxa"/>
              <w:right w:w="15" w:type="dxa"/>
            </w:tcMar>
            <w:vAlign w:val="center"/>
          </w:tcPr>
          <w:p w14:paraId="4ECF3F9D">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4"/>
                <w:szCs w:val="24"/>
                <w:u w:val="none"/>
                <w:lang w:val="en-US" w:eastAsia="zh-CN" w:bidi="ar"/>
              </w:rPr>
              <w:t>2,644,434.81</w:t>
            </w:r>
          </w:p>
        </w:tc>
        <w:tc>
          <w:tcPr>
            <w:tcW w:w="2145" w:type="dxa"/>
            <w:tcBorders>
              <w:top w:val="nil"/>
              <w:left w:val="nil"/>
              <w:bottom w:val="single" w:color="000000" w:sz="8" w:space="0"/>
              <w:right w:val="single" w:color="000000" w:sz="8" w:space="0"/>
            </w:tcBorders>
            <w:tcMar>
              <w:top w:w="15" w:type="dxa"/>
              <w:left w:w="15" w:type="dxa"/>
              <w:right w:w="15" w:type="dxa"/>
            </w:tcMar>
            <w:vAlign w:val="center"/>
          </w:tcPr>
          <w:p w14:paraId="24A538B3">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4"/>
                <w:szCs w:val="24"/>
                <w:u w:val="none"/>
                <w:lang w:val="en-US" w:eastAsia="zh-CN" w:bidi="ar"/>
              </w:rPr>
              <w:t>2,644,434.81</w:t>
            </w:r>
          </w:p>
        </w:tc>
        <w:tc>
          <w:tcPr>
            <w:tcW w:w="2205" w:type="dxa"/>
            <w:tcBorders>
              <w:top w:val="nil"/>
              <w:left w:val="nil"/>
              <w:bottom w:val="single" w:color="000000" w:sz="8" w:space="0"/>
              <w:right w:val="single" w:color="000000" w:sz="8" w:space="0"/>
            </w:tcBorders>
            <w:tcMar>
              <w:top w:w="15" w:type="dxa"/>
              <w:left w:w="15" w:type="dxa"/>
              <w:right w:w="15" w:type="dxa"/>
            </w:tcMar>
            <w:vAlign w:val="center"/>
          </w:tcPr>
          <w:p w14:paraId="02A677E9">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4"/>
                <w:szCs w:val="24"/>
                <w:u w:val="none"/>
                <w:lang w:val="en-US" w:eastAsia="zh-CN" w:bidi="ar"/>
              </w:rPr>
              <w:t xml:space="preserve">0.00 </w:t>
            </w:r>
          </w:p>
        </w:tc>
      </w:tr>
      <w:tr w14:paraId="0E73642E">
        <w:tblPrEx>
          <w:tblCellMar>
            <w:top w:w="0" w:type="dxa"/>
            <w:left w:w="0" w:type="dxa"/>
            <w:bottom w:w="0" w:type="dxa"/>
            <w:right w:w="0" w:type="dxa"/>
          </w:tblCellMar>
        </w:tblPrEx>
        <w:trPr>
          <w:trHeight w:val="557" w:hRule="atLeast"/>
        </w:trPr>
        <w:tc>
          <w:tcPr>
            <w:tcW w:w="90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487598CB">
            <w:pPr>
              <w:jc w:val="both"/>
              <w:rPr>
                <w:rFonts w:ascii="宋体" w:hAnsi="宋体" w:cs="宋体"/>
                <w:color w:val="auto"/>
                <w:sz w:val="24"/>
                <w:highlight w:val="none"/>
              </w:rPr>
            </w:pPr>
          </w:p>
        </w:tc>
        <w:tc>
          <w:tcPr>
            <w:tcW w:w="2280" w:type="dxa"/>
            <w:tcBorders>
              <w:top w:val="nil"/>
              <w:left w:val="nil"/>
              <w:bottom w:val="single" w:color="000000" w:sz="8" w:space="0"/>
              <w:right w:val="single" w:color="000000" w:sz="8" w:space="0"/>
            </w:tcBorders>
            <w:tcMar>
              <w:top w:w="15" w:type="dxa"/>
              <w:left w:w="15" w:type="dxa"/>
              <w:right w:w="15" w:type="dxa"/>
            </w:tcMar>
            <w:vAlign w:val="center"/>
          </w:tcPr>
          <w:p w14:paraId="659AB9D4">
            <w:pPr>
              <w:keepNext w:val="0"/>
              <w:keepLines w:val="0"/>
              <w:widowControl/>
              <w:suppressLineNumbers w:val="0"/>
              <w:jc w:val="both"/>
              <w:textAlignment w:val="center"/>
              <w:rPr>
                <w:rFonts w:ascii="宋体" w:hAnsi="宋体" w:cs="宋体"/>
                <w:color w:val="auto"/>
                <w:sz w:val="24"/>
                <w:highlight w:val="none"/>
              </w:rPr>
            </w:pPr>
            <w:r>
              <w:rPr>
                <w:rFonts w:hint="eastAsia" w:ascii="宋体" w:hAnsi="宋体" w:eastAsia="宋体" w:cs="宋体"/>
                <w:i w:val="0"/>
                <w:iCs w:val="0"/>
                <w:color w:val="auto"/>
                <w:kern w:val="0"/>
                <w:sz w:val="24"/>
                <w:szCs w:val="24"/>
                <w:u w:val="none"/>
                <w:lang w:val="en-US" w:eastAsia="zh-CN" w:bidi="ar"/>
              </w:rPr>
              <w:t>合计</w:t>
            </w:r>
          </w:p>
        </w:tc>
        <w:tc>
          <w:tcPr>
            <w:tcW w:w="2115" w:type="dxa"/>
            <w:tcBorders>
              <w:top w:val="nil"/>
              <w:left w:val="nil"/>
              <w:bottom w:val="single" w:color="000000" w:sz="8" w:space="0"/>
              <w:right w:val="single" w:color="000000" w:sz="8" w:space="0"/>
            </w:tcBorders>
            <w:tcMar>
              <w:top w:w="15" w:type="dxa"/>
              <w:left w:w="15" w:type="dxa"/>
              <w:right w:w="15" w:type="dxa"/>
            </w:tcMar>
            <w:vAlign w:val="center"/>
          </w:tcPr>
          <w:p w14:paraId="49D29627">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4"/>
                <w:szCs w:val="24"/>
                <w:u w:val="none"/>
                <w:lang w:val="en-US" w:eastAsia="zh-CN" w:bidi="ar"/>
              </w:rPr>
              <w:t>8,986,781.81</w:t>
            </w:r>
          </w:p>
        </w:tc>
        <w:tc>
          <w:tcPr>
            <w:tcW w:w="2145" w:type="dxa"/>
            <w:tcBorders>
              <w:top w:val="nil"/>
              <w:left w:val="nil"/>
              <w:bottom w:val="single" w:color="000000" w:sz="8" w:space="0"/>
              <w:right w:val="single" w:color="000000" w:sz="8" w:space="0"/>
            </w:tcBorders>
            <w:tcMar>
              <w:top w:w="15" w:type="dxa"/>
              <w:left w:w="15" w:type="dxa"/>
              <w:right w:w="15" w:type="dxa"/>
            </w:tcMar>
            <w:vAlign w:val="center"/>
          </w:tcPr>
          <w:p w14:paraId="52CF6F4A">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4"/>
                <w:szCs w:val="24"/>
                <w:u w:val="none"/>
                <w:lang w:val="en-US" w:eastAsia="zh-CN" w:bidi="ar"/>
              </w:rPr>
              <w:t>8,986,781.81</w:t>
            </w:r>
          </w:p>
        </w:tc>
        <w:tc>
          <w:tcPr>
            <w:tcW w:w="2205" w:type="dxa"/>
            <w:tcBorders>
              <w:top w:val="nil"/>
              <w:left w:val="nil"/>
              <w:bottom w:val="single" w:color="000000" w:sz="8" w:space="0"/>
              <w:right w:val="single" w:color="000000" w:sz="8" w:space="0"/>
            </w:tcBorders>
            <w:tcMar>
              <w:top w:w="15" w:type="dxa"/>
              <w:left w:w="15" w:type="dxa"/>
              <w:right w:w="15" w:type="dxa"/>
            </w:tcMar>
            <w:vAlign w:val="center"/>
          </w:tcPr>
          <w:p w14:paraId="37D1CF86">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4"/>
                <w:szCs w:val="24"/>
                <w:u w:val="none"/>
                <w:lang w:val="en-US" w:eastAsia="zh-CN" w:bidi="ar"/>
              </w:rPr>
              <w:t xml:space="preserve">0.00 </w:t>
            </w:r>
          </w:p>
        </w:tc>
      </w:tr>
    </w:tbl>
    <w:p w14:paraId="4406DF77">
      <w:pPr>
        <w:wordWrap w:val="0"/>
        <w:spacing w:line="360" w:lineRule="auto"/>
        <w:ind w:firstLine="602" w:firstLineChars="200"/>
        <w:jc w:val="left"/>
        <w:rPr>
          <w:rFonts w:hint="eastAsia" w:ascii="宋体" w:hAnsi="宋体" w:eastAsia="宋体" w:cs="宋体"/>
          <w:b/>
          <w:bCs w:val="0"/>
          <w:color w:val="auto"/>
          <w:sz w:val="30"/>
          <w:szCs w:val="30"/>
          <w:highlight w:val="none"/>
        </w:rPr>
      </w:pPr>
      <w:r>
        <w:rPr>
          <w:rFonts w:hint="eastAsia" w:ascii="宋体" w:hAnsi="宋体" w:eastAsia="宋体" w:cs="宋体"/>
          <w:b/>
          <w:bCs w:val="0"/>
          <w:color w:val="auto"/>
          <w:sz w:val="30"/>
          <w:szCs w:val="30"/>
          <w:highlight w:val="none"/>
        </w:rPr>
        <w:t xml:space="preserve"> 1.2、三公经费情况</w:t>
      </w:r>
    </w:p>
    <w:tbl>
      <w:tblPr>
        <w:tblStyle w:val="8"/>
        <w:tblW w:w="9615" w:type="dxa"/>
        <w:tblInd w:w="66" w:type="dxa"/>
        <w:tblLayout w:type="fixed"/>
        <w:tblCellMar>
          <w:top w:w="0" w:type="dxa"/>
          <w:left w:w="0" w:type="dxa"/>
          <w:bottom w:w="0" w:type="dxa"/>
          <w:right w:w="0" w:type="dxa"/>
        </w:tblCellMar>
      </w:tblPr>
      <w:tblGrid>
        <w:gridCol w:w="2535"/>
        <w:gridCol w:w="1755"/>
        <w:gridCol w:w="1650"/>
        <w:gridCol w:w="1935"/>
        <w:gridCol w:w="1740"/>
      </w:tblGrid>
      <w:tr w14:paraId="1DD5EAB5">
        <w:tblPrEx>
          <w:tblCellMar>
            <w:top w:w="0" w:type="dxa"/>
            <w:left w:w="0" w:type="dxa"/>
            <w:bottom w:w="0" w:type="dxa"/>
            <w:right w:w="0" w:type="dxa"/>
          </w:tblCellMar>
        </w:tblPrEx>
        <w:trPr>
          <w:trHeight w:val="375" w:hRule="atLeast"/>
        </w:trPr>
        <w:tc>
          <w:tcPr>
            <w:tcW w:w="9615" w:type="dxa"/>
            <w:gridSpan w:val="5"/>
            <w:tcBorders>
              <w:top w:val="nil"/>
              <w:left w:val="nil"/>
              <w:bottom w:val="nil"/>
              <w:right w:val="nil"/>
            </w:tcBorders>
            <w:noWrap/>
            <w:tcMar>
              <w:top w:w="15" w:type="dxa"/>
              <w:left w:w="15" w:type="dxa"/>
              <w:right w:w="15" w:type="dxa"/>
            </w:tcMar>
            <w:vAlign w:val="center"/>
          </w:tcPr>
          <w:p w14:paraId="70E75B1A">
            <w:pPr>
              <w:widowControl/>
              <w:wordWrap w:val="0"/>
              <w:spacing w:before="100" w:beforeAutospacing="1" w:after="100" w:afterAutospacing="1" w:line="360" w:lineRule="auto"/>
              <w:ind w:firstLine="602" w:firstLineChars="200"/>
              <w:jc w:val="left"/>
              <w:rPr>
                <w:rFonts w:hint="eastAsia" w:ascii="宋体" w:hAnsi="宋体" w:eastAsia="宋体" w:cs="宋体"/>
                <w:color w:val="auto"/>
                <w:sz w:val="30"/>
                <w:szCs w:val="30"/>
                <w:highlight w:val="none"/>
              </w:rPr>
            </w:pPr>
            <w:r>
              <w:rPr>
                <w:rFonts w:hint="eastAsia" w:ascii="宋体" w:hAnsi="宋体" w:eastAsia="宋体" w:cs="宋体"/>
                <w:b/>
                <w:bCs w:val="0"/>
                <w:color w:val="auto"/>
                <w:kern w:val="0"/>
                <w:sz w:val="30"/>
                <w:szCs w:val="30"/>
                <w:highlight w:val="none"/>
              </w:rPr>
              <w:t>1.2.1．</w:t>
            </w:r>
            <w:r>
              <w:rPr>
                <w:rFonts w:hint="eastAsia" w:ascii="宋体" w:hAnsi="宋体" w:eastAsia="宋体" w:cs="宋体"/>
                <w:b/>
                <w:bCs w:val="0"/>
                <w:color w:val="auto"/>
                <w:kern w:val="0"/>
                <w:sz w:val="30"/>
                <w:szCs w:val="30"/>
                <w:highlight w:val="none"/>
                <w:lang w:eastAsia="zh-CN"/>
              </w:rPr>
              <w:t>2023年</w:t>
            </w:r>
            <w:r>
              <w:rPr>
                <w:rFonts w:hint="eastAsia" w:ascii="宋体" w:hAnsi="宋体" w:eastAsia="宋体" w:cs="宋体"/>
                <w:b/>
                <w:bCs w:val="0"/>
                <w:color w:val="auto"/>
                <w:kern w:val="0"/>
                <w:sz w:val="30"/>
                <w:szCs w:val="30"/>
                <w:highlight w:val="none"/>
              </w:rPr>
              <w:t>度 “三公经费”预算、决算执行情况</w:t>
            </w:r>
            <w:r>
              <w:rPr>
                <w:rFonts w:hint="eastAsia" w:ascii="宋体" w:hAnsi="宋体" w:eastAsia="宋体" w:cs="宋体"/>
                <w:b/>
                <w:bCs w:val="0"/>
                <w:color w:val="auto"/>
                <w:kern w:val="0"/>
                <w:sz w:val="30"/>
                <w:szCs w:val="30"/>
                <w:highlight w:val="none"/>
                <w:lang w:eastAsia="zh-CN"/>
              </w:rPr>
              <w:t>表</w:t>
            </w:r>
            <w:r>
              <w:rPr>
                <w:rFonts w:hint="eastAsia" w:ascii="宋体" w:hAnsi="宋体" w:eastAsia="宋体" w:cs="宋体"/>
                <w:b/>
                <w:bCs w:val="0"/>
                <w:color w:val="auto"/>
                <w:kern w:val="0"/>
                <w:sz w:val="30"/>
                <w:szCs w:val="30"/>
                <w:highlight w:val="none"/>
              </w:rPr>
              <w:t xml:space="preserve">    单位：元</w:t>
            </w:r>
          </w:p>
        </w:tc>
      </w:tr>
      <w:tr w14:paraId="0EA7B8D8">
        <w:tblPrEx>
          <w:tblCellMar>
            <w:top w:w="0" w:type="dxa"/>
            <w:left w:w="0" w:type="dxa"/>
            <w:bottom w:w="0" w:type="dxa"/>
            <w:right w:w="0" w:type="dxa"/>
          </w:tblCellMar>
        </w:tblPrEx>
        <w:trPr>
          <w:trHeight w:val="391" w:hRule="atLeast"/>
        </w:trPr>
        <w:tc>
          <w:tcPr>
            <w:tcW w:w="25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EB8DA2E">
            <w:pPr>
              <w:keepNext w:val="0"/>
              <w:keepLines w:val="0"/>
              <w:widowControl/>
              <w:suppressLineNumbers w:val="0"/>
              <w:spacing w:line="48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项目</w:t>
            </w:r>
          </w:p>
        </w:tc>
        <w:tc>
          <w:tcPr>
            <w:tcW w:w="1755" w:type="dxa"/>
            <w:tcBorders>
              <w:top w:val="single" w:color="auto" w:sz="4" w:space="0"/>
              <w:left w:val="nil"/>
              <w:bottom w:val="single" w:color="auto" w:sz="4" w:space="0"/>
              <w:right w:val="single" w:color="auto" w:sz="4" w:space="0"/>
            </w:tcBorders>
            <w:tcMar>
              <w:top w:w="15" w:type="dxa"/>
              <w:left w:w="15" w:type="dxa"/>
              <w:right w:w="15" w:type="dxa"/>
            </w:tcMar>
            <w:vAlign w:val="center"/>
          </w:tcPr>
          <w:p w14:paraId="3356E939">
            <w:pPr>
              <w:keepNext w:val="0"/>
              <w:keepLines w:val="0"/>
              <w:widowControl/>
              <w:suppressLineNumbers w:val="0"/>
              <w:spacing w:line="48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预算数</w:t>
            </w:r>
          </w:p>
        </w:tc>
        <w:tc>
          <w:tcPr>
            <w:tcW w:w="1650" w:type="dxa"/>
            <w:tcBorders>
              <w:top w:val="single" w:color="auto" w:sz="4" w:space="0"/>
              <w:left w:val="nil"/>
              <w:bottom w:val="single" w:color="auto" w:sz="4" w:space="0"/>
              <w:right w:val="single" w:color="auto" w:sz="4" w:space="0"/>
            </w:tcBorders>
            <w:tcMar>
              <w:top w:w="15" w:type="dxa"/>
              <w:left w:w="15" w:type="dxa"/>
              <w:right w:w="15" w:type="dxa"/>
            </w:tcMar>
            <w:vAlign w:val="center"/>
          </w:tcPr>
          <w:p w14:paraId="657D7D15">
            <w:pPr>
              <w:keepNext w:val="0"/>
              <w:keepLines w:val="0"/>
              <w:widowControl/>
              <w:suppressLineNumbers w:val="0"/>
              <w:spacing w:line="48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决算数</w:t>
            </w:r>
          </w:p>
        </w:tc>
        <w:tc>
          <w:tcPr>
            <w:tcW w:w="1935" w:type="dxa"/>
            <w:tcBorders>
              <w:top w:val="single" w:color="auto" w:sz="4" w:space="0"/>
              <w:left w:val="nil"/>
              <w:bottom w:val="single" w:color="auto" w:sz="4" w:space="0"/>
              <w:right w:val="single" w:color="auto" w:sz="4" w:space="0"/>
            </w:tcBorders>
            <w:tcMar>
              <w:top w:w="15" w:type="dxa"/>
              <w:left w:w="15" w:type="dxa"/>
              <w:right w:w="15" w:type="dxa"/>
            </w:tcMar>
            <w:vAlign w:val="center"/>
          </w:tcPr>
          <w:p w14:paraId="17950DD4">
            <w:pPr>
              <w:keepNext w:val="0"/>
              <w:keepLines w:val="0"/>
              <w:widowControl/>
              <w:suppressLineNumbers w:val="0"/>
              <w:spacing w:line="48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决算比预算减少</w:t>
            </w:r>
          </w:p>
        </w:tc>
        <w:tc>
          <w:tcPr>
            <w:tcW w:w="1740" w:type="dxa"/>
            <w:tcBorders>
              <w:top w:val="single" w:color="auto" w:sz="4" w:space="0"/>
              <w:left w:val="nil"/>
              <w:bottom w:val="single" w:color="auto" w:sz="4" w:space="0"/>
              <w:right w:val="single" w:color="auto" w:sz="4" w:space="0"/>
            </w:tcBorders>
            <w:tcMar>
              <w:top w:w="15" w:type="dxa"/>
              <w:left w:w="15" w:type="dxa"/>
              <w:right w:w="15" w:type="dxa"/>
            </w:tcMar>
            <w:vAlign w:val="center"/>
          </w:tcPr>
          <w:p w14:paraId="0EBFE28E">
            <w:pPr>
              <w:keepNext w:val="0"/>
              <w:keepLines w:val="0"/>
              <w:widowControl/>
              <w:suppressLineNumbers w:val="0"/>
              <w:spacing w:line="48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控制率%</w:t>
            </w:r>
          </w:p>
        </w:tc>
      </w:tr>
      <w:tr w14:paraId="2C023F38">
        <w:tblPrEx>
          <w:tblCellMar>
            <w:top w:w="0" w:type="dxa"/>
            <w:left w:w="0" w:type="dxa"/>
            <w:bottom w:w="0" w:type="dxa"/>
            <w:right w:w="0" w:type="dxa"/>
          </w:tblCellMar>
        </w:tblPrEx>
        <w:trPr>
          <w:trHeight w:val="285" w:hRule="atLeast"/>
        </w:trPr>
        <w:tc>
          <w:tcPr>
            <w:tcW w:w="2535" w:type="dxa"/>
            <w:tcBorders>
              <w:top w:val="nil"/>
              <w:left w:val="single" w:color="auto" w:sz="4" w:space="0"/>
              <w:bottom w:val="single" w:color="auto" w:sz="4" w:space="0"/>
              <w:right w:val="single" w:color="auto" w:sz="4" w:space="0"/>
            </w:tcBorders>
            <w:tcMar>
              <w:top w:w="15" w:type="dxa"/>
              <w:left w:w="15" w:type="dxa"/>
              <w:right w:w="15" w:type="dxa"/>
            </w:tcMar>
            <w:vAlign w:val="center"/>
          </w:tcPr>
          <w:p w14:paraId="13005B09">
            <w:pPr>
              <w:keepNext w:val="0"/>
              <w:keepLines w:val="0"/>
              <w:widowControl/>
              <w:suppressLineNumbers w:val="0"/>
              <w:spacing w:line="48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公务接待费</w:t>
            </w:r>
          </w:p>
        </w:tc>
        <w:tc>
          <w:tcPr>
            <w:tcW w:w="1755" w:type="dxa"/>
            <w:tcBorders>
              <w:top w:val="nil"/>
              <w:left w:val="nil"/>
              <w:bottom w:val="single" w:color="auto" w:sz="4" w:space="0"/>
              <w:right w:val="single" w:color="auto" w:sz="4" w:space="0"/>
            </w:tcBorders>
            <w:tcMar>
              <w:top w:w="15" w:type="dxa"/>
              <w:left w:w="15" w:type="dxa"/>
              <w:right w:w="15" w:type="dxa"/>
            </w:tcMar>
            <w:vAlign w:val="center"/>
          </w:tcPr>
          <w:p w14:paraId="0C59A411">
            <w:pPr>
              <w:keepNext w:val="0"/>
              <w:keepLines w:val="0"/>
              <w:widowControl/>
              <w:suppressLineNumbers w:val="0"/>
              <w:spacing w:line="48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200,000.00 </w:t>
            </w:r>
          </w:p>
        </w:tc>
        <w:tc>
          <w:tcPr>
            <w:tcW w:w="1650" w:type="dxa"/>
            <w:tcBorders>
              <w:top w:val="nil"/>
              <w:left w:val="nil"/>
              <w:bottom w:val="single" w:color="auto" w:sz="4" w:space="0"/>
              <w:right w:val="single" w:color="auto" w:sz="4" w:space="0"/>
            </w:tcBorders>
            <w:tcMar>
              <w:top w:w="15" w:type="dxa"/>
              <w:left w:w="15" w:type="dxa"/>
              <w:right w:w="15" w:type="dxa"/>
            </w:tcMar>
            <w:vAlign w:val="center"/>
          </w:tcPr>
          <w:p w14:paraId="3C3C97F6">
            <w:pPr>
              <w:keepNext w:val="0"/>
              <w:keepLines w:val="0"/>
              <w:widowControl/>
              <w:suppressLineNumbers w:val="0"/>
              <w:spacing w:line="48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25,000.00 </w:t>
            </w:r>
          </w:p>
        </w:tc>
        <w:tc>
          <w:tcPr>
            <w:tcW w:w="1935" w:type="dxa"/>
            <w:tcBorders>
              <w:top w:val="nil"/>
              <w:left w:val="nil"/>
              <w:bottom w:val="single" w:color="auto" w:sz="4" w:space="0"/>
              <w:right w:val="single" w:color="auto" w:sz="4" w:space="0"/>
            </w:tcBorders>
            <w:tcMar>
              <w:top w:w="15" w:type="dxa"/>
              <w:left w:w="15" w:type="dxa"/>
              <w:right w:w="15" w:type="dxa"/>
            </w:tcMar>
            <w:vAlign w:val="center"/>
          </w:tcPr>
          <w:p w14:paraId="3F250ABA">
            <w:pPr>
              <w:keepNext w:val="0"/>
              <w:keepLines w:val="0"/>
              <w:widowControl/>
              <w:suppressLineNumbers w:val="0"/>
              <w:spacing w:line="48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-175,000.00 </w:t>
            </w:r>
          </w:p>
        </w:tc>
        <w:tc>
          <w:tcPr>
            <w:tcW w:w="1740" w:type="dxa"/>
            <w:tcBorders>
              <w:top w:val="nil"/>
              <w:left w:val="nil"/>
              <w:bottom w:val="single" w:color="auto" w:sz="4" w:space="0"/>
              <w:right w:val="single" w:color="auto" w:sz="4" w:space="0"/>
            </w:tcBorders>
            <w:tcMar>
              <w:top w:w="15" w:type="dxa"/>
              <w:left w:w="15" w:type="dxa"/>
              <w:right w:w="15" w:type="dxa"/>
            </w:tcMar>
            <w:vAlign w:val="center"/>
          </w:tcPr>
          <w:p w14:paraId="04B70944">
            <w:pPr>
              <w:keepNext w:val="0"/>
              <w:keepLines w:val="0"/>
              <w:widowControl/>
              <w:suppressLineNumbers w:val="0"/>
              <w:spacing w:line="48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12.50 </w:t>
            </w:r>
          </w:p>
        </w:tc>
      </w:tr>
      <w:tr w14:paraId="5062355E">
        <w:tblPrEx>
          <w:tblCellMar>
            <w:top w:w="0" w:type="dxa"/>
            <w:left w:w="0" w:type="dxa"/>
            <w:bottom w:w="0" w:type="dxa"/>
            <w:right w:w="0" w:type="dxa"/>
          </w:tblCellMar>
        </w:tblPrEx>
        <w:trPr>
          <w:trHeight w:val="285" w:hRule="atLeast"/>
        </w:trPr>
        <w:tc>
          <w:tcPr>
            <w:tcW w:w="2535" w:type="dxa"/>
            <w:tcBorders>
              <w:top w:val="nil"/>
              <w:left w:val="single" w:color="auto" w:sz="4" w:space="0"/>
              <w:bottom w:val="single" w:color="auto" w:sz="4" w:space="0"/>
              <w:right w:val="single" w:color="auto" w:sz="4" w:space="0"/>
            </w:tcBorders>
            <w:tcMar>
              <w:top w:w="15" w:type="dxa"/>
              <w:left w:w="15" w:type="dxa"/>
              <w:right w:w="15" w:type="dxa"/>
            </w:tcMar>
            <w:vAlign w:val="center"/>
          </w:tcPr>
          <w:p w14:paraId="7F3661BC">
            <w:pPr>
              <w:keepNext w:val="0"/>
              <w:keepLines w:val="0"/>
              <w:widowControl/>
              <w:suppressLineNumbers w:val="0"/>
              <w:spacing w:line="48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公务用车运行维护费</w:t>
            </w:r>
          </w:p>
        </w:tc>
        <w:tc>
          <w:tcPr>
            <w:tcW w:w="1755" w:type="dxa"/>
            <w:tcBorders>
              <w:top w:val="nil"/>
              <w:left w:val="nil"/>
              <w:bottom w:val="single" w:color="auto" w:sz="4" w:space="0"/>
              <w:right w:val="single" w:color="auto" w:sz="4" w:space="0"/>
            </w:tcBorders>
            <w:tcMar>
              <w:top w:w="15" w:type="dxa"/>
              <w:left w:w="15" w:type="dxa"/>
              <w:right w:w="15" w:type="dxa"/>
            </w:tcMar>
            <w:vAlign w:val="center"/>
          </w:tcPr>
          <w:p w14:paraId="759D0D8B">
            <w:pPr>
              <w:keepNext w:val="0"/>
              <w:keepLines w:val="0"/>
              <w:widowControl/>
              <w:suppressLineNumbers w:val="0"/>
              <w:spacing w:line="48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30,000.00 </w:t>
            </w:r>
          </w:p>
        </w:tc>
        <w:tc>
          <w:tcPr>
            <w:tcW w:w="1650" w:type="dxa"/>
            <w:tcBorders>
              <w:top w:val="nil"/>
              <w:left w:val="nil"/>
              <w:bottom w:val="single" w:color="auto" w:sz="4" w:space="0"/>
              <w:right w:val="single" w:color="auto" w:sz="4" w:space="0"/>
            </w:tcBorders>
            <w:tcMar>
              <w:top w:w="15" w:type="dxa"/>
              <w:left w:w="15" w:type="dxa"/>
              <w:right w:w="15" w:type="dxa"/>
            </w:tcMar>
            <w:vAlign w:val="center"/>
          </w:tcPr>
          <w:p w14:paraId="7834A61F">
            <w:pPr>
              <w:keepNext w:val="0"/>
              <w:keepLines w:val="0"/>
              <w:widowControl/>
              <w:suppressLineNumbers w:val="0"/>
              <w:spacing w:line="48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30,000.00 </w:t>
            </w:r>
          </w:p>
        </w:tc>
        <w:tc>
          <w:tcPr>
            <w:tcW w:w="1935" w:type="dxa"/>
            <w:tcBorders>
              <w:top w:val="nil"/>
              <w:left w:val="nil"/>
              <w:bottom w:val="single" w:color="auto" w:sz="4" w:space="0"/>
              <w:right w:val="single" w:color="auto" w:sz="4" w:space="0"/>
            </w:tcBorders>
            <w:tcMar>
              <w:top w:w="15" w:type="dxa"/>
              <w:left w:w="15" w:type="dxa"/>
              <w:right w:w="15" w:type="dxa"/>
            </w:tcMar>
            <w:vAlign w:val="center"/>
          </w:tcPr>
          <w:p w14:paraId="3AA6ADFC">
            <w:pPr>
              <w:keepNext w:val="0"/>
              <w:keepLines w:val="0"/>
              <w:widowControl/>
              <w:suppressLineNumbers w:val="0"/>
              <w:spacing w:line="48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0.00 </w:t>
            </w:r>
          </w:p>
        </w:tc>
        <w:tc>
          <w:tcPr>
            <w:tcW w:w="1740" w:type="dxa"/>
            <w:tcBorders>
              <w:top w:val="nil"/>
              <w:left w:val="nil"/>
              <w:bottom w:val="single" w:color="auto" w:sz="4" w:space="0"/>
              <w:right w:val="single" w:color="auto" w:sz="4" w:space="0"/>
            </w:tcBorders>
            <w:tcMar>
              <w:top w:w="15" w:type="dxa"/>
              <w:left w:w="15" w:type="dxa"/>
              <w:right w:w="15" w:type="dxa"/>
            </w:tcMar>
            <w:vAlign w:val="center"/>
          </w:tcPr>
          <w:p w14:paraId="19F8E707">
            <w:pPr>
              <w:keepNext w:val="0"/>
              <w:keepLines w:val="0"/>
              <w:widowControl/>
              <w:suppressLineNumbers w:val="0"/>
              <w:spacing w:line="48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100.00 </w:t>
            </w:r>
          </w:p>
        </w:tc>
      </w:tr>
      <w:tr w14:paraId="1B299015">
        <w:tblPrEx>
          <w:tblCellMar>
            <w:top w:w="0" w:type="dxa"/>
            <w:left w:w="0" w:type="dxa"/>
            <w:bottom w:w="0" w:type="dxa"/>
            <w:right w:w="0" w:type="dxa"/>
          </w:tblCellMar>
        </w:tblPrEx>
        <w:trPr>
          <w:trHeight w:val="285" w:hRule="atLeast"/>
        </w:trPr>
        <w:tc>
          <w:tcPr>
            <w:tcW w:w="2535" w:type="dxa"/>
            <w:tcBorders>
              <w:top w:val="nil"/>
              <w:left w:val="single" w:color="auto" w:sz="4" w:space="0"/>
              <w:bottom w:val="single" w:color="auto" w:sz="4" w:space="0"/>
              <w:right w:val="single" w:color="auto" w:sz="4" w:space="0"/>
            </w:tcBorders>
            <w:tcMar>
              <w:top w:w="15" w:type="dxa"/>
              <w:left w:w="15" w:type="dxa"/>
              <w:right w:w="15" w:type="dxa"/>
            </w:tcMar>
            <w:vAlign w:val="center"/>
          </w:tcPr>
          <w:p w14:paraId="313E11D9">
            <w:pPr>
              <w:keepNext w:val="0"/>
              <w:keepLines w:val="0"/>
              <w:widowControl/>
              <w:suppressLineNumbers w:val="0"/>
              <w:spacing w:line="48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公务用车购置</w:t>
            </w:r>
          </w:p>
        </w:tc>
        <w:tc>
          <w:tcPr>
            <w:tcW w:w="1755" w:type="dxa"/>
            <w:tcBorders>
              <w:top w:val="nil"/>
              <w:left w:val="nil"/>
              <w:bottom w:val="single" w:color="auto" w:sz="4" w:space="0"/>
              <w:right w:val="single" w:color="auto" w:sz="4" w:space="0"/>
            </w:tcBorders>
            <w:tcMar>
              <w:top w:w="15" w:type="dxa"/>
              <w:left w:w="15" w:type="dxa"/>
              <w:right w:w="15" w:type="dxa"/>
            </w:tcMar>
            <w:vAlign w:val="center"/>
          </w:tcPr>
          <w:p w14:paraId="1231F6BF">
            <w:pPr>
              <w:keepNext w:val="0"/>
              <w:keepLines w:val="0"/>
              <w:widowControl/>
              <w:suppressLineNumbers w:val="0"/>
              <w:spacing w:line="48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0.00 </w:t>
            </w:r>
          </w:p>
        </w:tc>
        <w:tc>
          <w:tcPr>
            <w:tcW w:w="1650" w:type="dxa"/>
            <w:tcBorders>
              <w:top w:val="nil"/>
              <w:left w:val="nil"/>
              <w:bottom w:val="single" w:color="auto" w:sz="4" w:space="0"/>
              <w:right w:val="single" w:color="auto" w:sz="4" w:space="0"/>
            </w:tcBorders>
            <w:tcMar>
              <w:top w:w="15" w:type="dxa"/>
              <w:left w:w="15" w:type="dxa"/>
              <w:right w:w="15" w:type="dxa"/>
            </w:tcMar>
            <w:vAlign w:val="center"/>
          </w:tcPr>
          <w:p w14:paraId="25A7BE39">
            <w:pPr>
              <w:keepNext w:val="0"/>
              <w:keepLines w:val="0"/>
              <w:widowControl/>
              <w:suppressLineNumbers w:val="0"/>
              <w:spacing w:line="48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0.00 </w:t>
            </w:r>
          </w:p>
        </w:tc>
        <w:tc>
          <w:tcPr>
            <w:tcW w:w="1935" w:type="dxa"/>
            <w:tcBorders>
              <w:top w:val="nil"/>
              <w:left w:val="nil"/>
              <w:bottom w:val="single" w:color="auto" w:sz="4" w:space="0"/>
              <w:right w:val="single" w:color="auto" w:sz="4" w:space="0"/>
            </w:tcBorders>
            <w:tcMar>
              <w:top w:w="15" w:type="dxa"/>
              <w:left w:w="15" w:type="dxa"/>
              <w:right w:w="15" w:type="dxa"/>
            </w:tcMar>
            <w:vAlign w:val="center"/>
          </w:tcPr>
          <w:p w14:paraId="7D4B8A52">
            <w:pPr>
              <w:keepNext w:val="0"/>
              <w:keepLines w:val="0"/>
              <w:widowControl/>
              <w:suppressLineNumbers w:val="0"/>
              <w:spacing w:line="48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0.00 </w:t>
            </w:r>
          </w:p>
        </w:tc>
        <w:tc>
          <w:tcPr>
            <w:tcW w:w="1740" w:type="dxa"/>
            <w:tcBorders>
              <w:top w:val="nil"/>
              <w:left w:val="nil"/>
              <w:bottom w:val="single" w:color="auto" w:sz="4" w:space="0"/>
              <w:right w:val="single" w:color="auto" w:sz="4" w:space="0"/>
            </w:tcBorders>
            <w:tcMar>
              <w:top w:w="15" w:type="dxa"/>
              <w:left w:w="15" w:type="dxa"/>
              <w:right w:w="15" w:type="dxa"/>
            </w:tcMar>
            <w:vAlign w:val="center"/>
          </w:tcPr>
          <w:p w14:paraId="67EB1B82">
            <w:pPr>
              <w:keepNext w:val="0"/>
              <w:keepLines w:val="0"/>
              <w:widowControl/>
              <w:suppressLineNumbers w:val="0"/>
              <w:spacing w:line="48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14:paraId="590F1722">
        <w:tblPrEx>
          <w:tblCellMar>
            <w:top w:w="0" w:type="dxa"/>
            <w:left w:w="0" w:type="dxa"/>
            <w:bottom w:w="0" w:type="dxa"/>
            <w:right w:w="0" w:type="dxa"/>
          </w:tblCellMar>
        </w:tblPrEx>
        <w:trPr>
          <w:trHeight w:val="285" w:hRule="atLeast"/>
        </w:trPr>
        <w:tc>
          <w:tcPr>
            <w:tcW w:w="2535" w:type="dxa"/>
            <w:tcBorders>
              <w:top w:val="nil"/>
              <w:left w:val="single" w:color="auto" w:sz="4" w:space="0"/>
              <w:bottom w:val="single" w:color="auto" w:sz="4" w:space="0"/>
              <w:right w:val="single" w:color="auto" w:sz="4" w:space="0"/>
            </w:tcBorders>
            <w:tcMar>
              <w:top w:w="15" w:type="dxa"/>
              <w:left w:w="15" w:type="dxa"/>
              <w:right w:w="15" w:type="dxa"/>
            </w:tcMar>
            <w:vAlign w:val="top"/>
          </w:tcPr>
          <w:p w14:paraId="04FDEA71">
            <w:pPr>
              <w:keepNext w:val="0"/>
              <w:keepLines w:val="0"/>
              <w:widowControl/>
              <w:suppressLineNumbers w:val="0"/>
              <w:spacing w:line="48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因公出国（境）费用</w:t>
            </w:r>
          </w:p>
        </w:tc>
        <w:tc>
          <w:tcPr>
            <w:tcW w:w="1755" w:type="dxa"/>
            <w:tcBorders>
              <w:top w:val="nil"/>
              <w:left w:val="nil"/>
              <w:bottom w:val="single" w:color="auto" w:sz="4" w:space="0"/>
              <w:right w:val="single" w:color="auto" w:sz="4" w:space="0"/>
            </w:tcBorders>
            <w:tcMar>
              <w:top w:w="15" w:type="dxa"/>
              <w:left w:w="15" w:type="dxa"/>
              <w:right w:w="15" w:type="dxa"/>
            </w:tcMar>
            <w:vAlign w:val="center"/>
          </w:tcPr>
          <w:p w14:paraId="118FD303">
            <w:pPr>
              <w:keepNext w:val="0"/>
              <w:keepLines w:val="0"/>
              <w:widowControl/>
              <w:suppressLineNumbers w:val="0"/>
              <w:spacing w:line="48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0.00 </w:t>
            </w:r>
          </w:p>
        </w:tc>
        <w:tc>
          <w:tcPr>
            <w:tcW w:w="1650" w:type="dxa"/>
            <w:tcBorders>
              <w:top w:val="nil"/>
              <w:left w:val="nil"/>
              <w:bottom w:val="single" w:color="auto" w:sz="4" w:space="0"/>
              <w:right w:val="single" w:color="auto" w:sz="4" w:space="0"/>
            </w:tcBorders>
            <w:tcMar>
              <w:top w:w="15" w:type="dxa"/>
              <w:left w:w="15" w:type="dxa"/>
              <w:right w:w="15" w:type="dxa"/>
            </w:tcMar>
            <w:vAlign w:val="center"/>
          </w:tcPr>
          <w:p w14:paraId="73A38C3E">
            <w:pPr>
              <w:keepNext w:val="0"/>
              <w:keepLines w:val="0"/>
              <w:widowControl/>
              <w:suppressLineNumbers w:val="0"/>
              <w:spacing w:line="48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0.00 </w:t>
            </w:r>
          </w:p>
        </w:tc>
        <w:tc>
          <w:tcPr>
            <w:tcW w:w="1935" w:type="dxa"/>
            <w:tcBorders>
              <w:top w:val="nil"/>
              <w:left w:val="nil"/>
              <w:bottom w:val="single" w:color="auto" w:sz="4" w:space="0"/>
              <w:right w:val="single" w:color="auto" w:sz="4" w:space="0"/>
            </w:tcBorders>
            <w:tcMar>
              <w:top w:w="15" w:type="dxa"/>
              <w:left w:w="15" w:type="dxa"/>
              <w:right w:w="15" w:type="dxa"/>
            </w:tcMar>
            <w:vAlign w:val="center"/>
          </w:tcPr>
          <w:p w14:paraId="2DD7BA40">
            <w:pPr>
              <w:keepNext w:val="0"/>
              <w:keepLines w:val="0"/>
              <w:widowControl/>
              <w:suppressLineNumbers w:val="0"/>
              <w:spacing w:line="48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0.00 </w:t>
            </w:r>
          </w:p>
        </w:tc>
        <w:tc>
          <w:tcPr>
            <w:tcW w:w="1740" w:type="dxa"/>
            <w:tcBorders>
              <w:top w:val="nil"/>
              <w:left w:val="nil"/>
              <w:bottom w:val="single" w:color="auto" w:sz="4" w:space="0"/>
              <w:right w:val="single" w:color="auto" w:sz="4" w:space="0"/>
            </w:tcBorders>
            <w:tcMar>
              <w:top w:w="15" w:type="dxa"/>
              <w:left w:w="15" w:type="dxa"/>
              <w:right w:w="15" w:type="dxa"/>
            </w:tcMar>
            <w:vAlign w:val="center"/>
          </w:tcPr>
          <w:p w14:paraId="2C240056">
            <w:pPr>
              <w:keepNext w:val="0"/>
              <w:keepLines w:val="0"/>
              <w:widowControl/>
              <w:suppressLineNumbers w:val="0"/>
              <w:spacing w:line="48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14:paraId="350CCDEB">
        <w:tblPrEx>
          <w:tblCellMar>
            <w:top w:w="0" w:type="dxa"/>
            <w:left w:w="0" w:type="dxa"/>
            <w:bottom w:w="0" w:type="dxa"/>
            <w:right w:w="0" w:type="dxa"/>
          </w:tblCellMar>
        </w:tblPrEx>
        <w:trPr>
          <w:trHeight w:val="285" w:hRule="atLeast"/>
        </w:trPr>
        <w:tc>
          <w:tcPr>
            <w:tcW w:w="2535" w:type="dxa"/>
            <w:tcBorders>
              <w:top w:val="nil"/>
              <w:left w:val="single" w:color="auto" w:sz="4" w:space="0"/>
              <w:bottom w:val="single" w:color="auto" w:sz="4" w:space="0"/>
              <w:right w:val="single" w:color="auto" w:sz="4" w:space="0"/>
            </w:tcBorders>
            <w:tcMar>
              <w:top w:w="15" w:type="dxa"/>
              <w:left w:w="15" w:type="dxa"/>
              <w:right w:w="15" w:type="dxa"/>
            </w:tcMar>
            <w:vAlign w:val="top"/>
          </w:tcPr>
          <w:p w14:paraId="5DF83CFA">
            <w:pPr>
              <w:keepNext w:val="0"/>
              <w:keepLines w:val="0"/>
              <w:widowControl/>
              <w:suppressLineNumbers w:val="0"/>
              <w:spacing w:line="48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合计</w:t>
            </w:r>
          </w:p>
        </w:tc>
        <w:tc>
          <w:tcPr>
            <w:tcW w:w="1755" w:type="dxa"/>
            <w:tcBorders>
              <w:top w:val="nil"/>
              <w:left w:val="nil"/>
              <w:bottom w:val="single" w:color="auto" w:sz="4" w:space="0"/>
              <w:right w:val="single" w:color="auto" w:sz="4" w:space="0"/>
            </w:tcBorders>
            <w:tcMar>
              <w:top w:w="15" w:type="dxa"/>
              <w:left w:w="15" w:type="dxa"/>
              <w:right w:w="15" w:type="dxa"/>
            </w:tcMar>
            <w:vAlign w:val="center"/>
          </w:tcPr>
          <w:p w14:paraId="78CD400C">
            <w:pPr>
              <w:keepNext w:val="0"/>
              <w:keepLines w:val="0"/>
              <w:widowControl/>
              <w:suppressLineNumbers w:val="0"/>
              <w:spacing w:line="48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230,000.00 </w:t>
            </w:r>
          </w:p>
        </w:tc>
        <w:tc>
          <w:tcPr>
            <w:tcW w:w="1650" w:type="dxa"/>
            <w:tcBorders>
              <w:top w:val="nil"/>
              <w:left w:val="nil"/>
              <w:bottom w:val="single" w:color="auto" w:sz="4" w:space="0"/>
              <w:right w:val="single" w:color="auto" w:sz="4" w:space="0"/>
            </w:tcBorders>
            <w:tcMar>
              <w:top w:w="15" w:type="dxa"/>
              <w:left w:w="15" w:type="dxa"/>
              <w:right w:w="15" w:type="dxa"/>
            </w:tcMar>
            <w:vAlign w:val="center"/>
          </w:tcPr>
          <w:p w14:paraId="725C1DF3">
            <w:pPr>
              <w:keepNext w:val="0"/>
              <w:keepLines w:val="0"/>
              <w:widowControl/>
              <w:suppressLineNumbers w:val="0"/>
              <w:spacing w:line="48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55,000.00 </w:t>
            </w:r>
          </w:p>
        </w:tc>
        <w:tc>
          <w:tcPr>
            <w:tcW w:w="1935" w:type="dxa"/>
            <w:tcBorders>
              <w:top w:val="nil"/>
              <w:left w:val="nil"/>
              <w:bottom w:val="single" w:color="auto" w:sz="4" w:space="0"/>
              <w:right w:val="single" w:color="auto" w:sz="4" w:space="0"/>
            </w:tcBorders>
            <w:tcMar>
              <w:top w:w="15" w:type="dxa"/>
              <w:left w:w="15" w:type="dxa"/>
              <w:right w:w="15" w:type="dxa"/>
            </w:tcMar>
            <w:vAlign w:val="center"/>
          </w:tcPr>
          <w:p w14:paraId="1B308220">
            <w:pPr>
              <w:keepNext w:val="0"/>
              <w:keepLines w:val="0"/>
              <w:widowControl/>
              <w:suppressLineNumbers w:val="0"/>
              <w:spacing w:line="48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-175,000.00 </w:t>
            </w:r>
          </w:p>
        </w:tc>
        <w:tc>
          <w:tcPr>
            <w:tcW w:w="1740" w:type="dxa"/>
            <w:tcBorders>
              <w:top w:val="nil"/>
              <w:left w:val="nil"/>
              <w:bottom w:val="single" w:color="auto" w:sz="4" w:space="0"/>
              <w:right w:val="single" w:color="auto" w:sz="4" w:space="0"/>
            </w:tcBorders>
            <w:tcMar>
              <w:top w:w="15" w:type="dxa"/>
              <w:left w:w="15" w:type="dxa"/>
              <w:right w:w="15" w:type="dxa"/>
            </w:tcMar>
            <w:vAlign w:val="center"/>
          </w:tcPr>
          <w:p w14:paraId="33C61447">
            <w:pPr>
              <w:keepNext w:val="0"/>
              <w:keepLines w:val="0"/>
              <w:widowControl/>
              <w:suppressLineNumbers w:val="0"/>
              <w:spacing w:line="48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23.91 </w:t>
            </w:r>
          </w:p>
        </w:tc>
      </w:tr>
    </w:tbl>
    <w:p w14:paraId="4714B31F">
      <w:pPr>
        <w:widowControl/>
        <w:wordWrap w:val="0"/>
        <w:spacing w:before="100" w:beforeAutospacing="1" w:after="100" w:afterAutospacing="1" w:line="360" w:lineRule="auto"/>
        <w:ind w:firstLine="640"/>
        <w:jc w:val="left"/>
        <w:rPr>
          <w:rFonts w:hint="eastAsia" w:ascii="宋体" w:hAnsi="宋体" w:eastAsia="宋体" w:cs="宋体"/>
          <w:color w:val="auto"/>
          <w:kern w:val="0"/>
          <w:sz w:val="30"/>
          <w:szCs w:val="30"/>
          <w:highlight w:val="none"/>
        </w:rPr>
      </w:pPr>
      <w:r>
        <w:rPr>
          <w:rFonts w:hint="eastAsia" w:ascii="宋体" w:hAnsi="宋体" w:eastAsia="宋体" w:cs="宋体"/>
          <w:color w:val="auto"/>
          <w:kern w:val="0"/>
          <w:sz w:val="30"/>
          <w:szCs w:val="30"/>
          <w:highlight w:val="none"/>
          <w:lang w:eastAsia="zh-CN"/>
        </w:rPr>
        <w:t>2023年</w:t>
      </w:r>
      <w:r>
        <w:rPr>
          <w:rFonts w:hint="eastAsia" w:ascii="宋体" w:hAnsi="宋体" w:eastAsia="宋体" w:cs="宋体"/>
          <w:color w:val="auto"/>
          <w:kern w:val="0"/>
          <w:sz w:val="30"/>
          <w:szCs w:val="30"/>
          <w:highlight w:val="none"/>
        </w:rPr>
        <w:t>度“三公经费”预算数</w:t>
      </w:r>
      <w:r>
        <w:rPr>
          <w:rFonts w:hint="eastAsia" w:ascii="宋体" w:hAnsi="宋体" w:eastAsia="宋体" w:cs="宋体"/>
          <w:color w:val="auto"/>
          <w:kern w:val="0"/>
          <w:sz w:val="30"/>
          <w:szCs w:val="30"/>
          <w:highlight w:val="none"/>
          <w:lang w:val="en-US" w:eastAsia="zh-CN"/>
        </w:rPr>
        <w:t>23</w:t>
      </w:r>
      <w:r>
        <w:rPr>
          <w:rFonts w:hint="eastAsia" w:ascii="宋体" w:hAnsi="宋体" w:eastAsia="宋体" w:cs="宋体"/>
          <w:color w:val="auto"/>
          <w:kern w:val="0"/>
          <w:sz w:val="30"/>
          <w:szCs w:val="30"/>
          <w:highlight w:val="none"/>
        </w:rPr>
        <w:t>.00万元，决算数</w:t>
      </w:r>
      <w:r>
        <w:rPr>
          <w:rFonts w:hint="eastAsia" w:ascii="宋体" w:hAnsi="宋体" w:eastAsia="宋体" w:cs="宋体"/>
          <w:color w:val="auto"/>
          <w:kern w:val="0"/>
          <w:sz w:val="30"/>
          <w:szCs w:val="30"/>
          <w:highlight w:val="none"/>
          <w:lang w:val="en-US" w:eastAsia="zh-CN"/>
        </w:rPr>
        <w:t>5.50</w:t>
      </w:r>
      <w:r>
        <w:rPr>
          <w:rFonts w:hint="eastAsia" w:ascii="宋体" w:hAnsi="宋体" w:eastAsia="宋体" w:cs="宋体"/>
          <w:color w:val="auto"/>
          <w:kern w:val="0"/>
          <w:sz w:val="30"/>
          <w:szCs w:val="30"/>
          <w:highlight w:val="none"/>
        </w:rPr>
        <w:t>万元，控制率</w:t>
      </w:r>
      <w:r>
        <w:rPr>
          <w:rFonts w:hint="eastAsia" w:ascii="宋体" w:hAnsi="宋体" w:eastAsia="宋体" w:cs="宋体"/>
          <w:color w:val="auto"/>
          <w:kern w:val="0"/>
          <w:sz w:val="30"/>
          <w:szCs w:val="30"/>
          <w:highlight w:val="none"/>
          <w:lang w:val="en-US" w:eastAsia="zh-CN"/>
        </w:rPr>
        <w:t>23.91</w:t>
      </w:r>
      <w:r>
        <w:rPr>
          <w:rFonts w:hint="eastAsia" w:ascii="宋体" w:hAnsi="宋体" w:eastAsia="宋体" w:cs="宋体"/>
          <w:color w:val="auto"/>
          <w:kern w:val="0"/>
          <w:sz w:val="30"/>
          <w:szCs w:val="30"/>
          <w:highlight w:val="none"/>
        </w:rPr>
        <w:t>%。“三公经费”决算数比预算数减少</w:t>
      </w:r>
      <w:r>
        <w:rPr>
          <w:rFonts w:hint="eastAsia" w:ascii="宋体" w:hAnsi="宋体" w:eastAsia="宋体" w:cs="宋体"/>
          <w:color w:val="auto"/>
          <w:kern w:val="0"/>
          <w:sz w:val="30"/>
          <w:szCs w:val="30"/>
          <w:highlight w:val="none"/>
          <w:lang w:val="en-US" w:eastAsia="zh-CN"/>
        </w:rPr>
        <w:t>17.50</w:t>
      </w:r>
      <w:r>
        <w:rPr>
          <w:rFonts w:hint="eastAsia" w:ascii="宋体" w:hAnsi="宋体" w:eastAsia="宋体" w:cs="宋体"/>
          <w:color w:val="auto"/>
          <w:kern w:val="0"/>
          <w:sz w:val="30"/>
          <w:szCs w:val="30"/>
          <w:highlight w:val="none"/>
        </w:rPr>
        <w:t>万元，其中公务接待费支出减少</w:t>
      </w:r>
      <w:r>
        <w:rPr>
          <w:rFonts w:hint="eastAsia" w:ascii="宋体" w:hAnsi="宋体" w:eastAsia="宋体" w:cs="宋体"/>
          <w:color w:val="auto"/>
          <w:kern w:val="0"/>
          <w:sz w:val="30"/>
          <w:szCs w:val="30"/>
          <w:highlight w:val="none"/>
          <w:lang w:val="en-US" w:eastAsia="zh-CN"/>
        </w:rPr>
        <w:t>17.50</w:t>
      </w:r>
      <w:r>
        <w:rPr>
          <w:rFonts w:hint="eastAsia" w:ascii="宋体" w:hAnsi="宋体" w:eastAsia="宋体" w:cs="宋体"/>
          <w:color w:val="auto"/>
          <w:kern w:val="0"/>
          <w:sz w:val="30"/>
          <w:szCs w:val="30"/>
          <w:highlight w:val="none"/>
        </w:rPr>
        <w:t>万元，公务用车运行维护费支出</w:t>
      </w:r>
      <w:r>
        <w:rPr>
          <w:rFonts w:hint="eastAsia" w:ascii="宋体" w:hAnsi="宋体" w:eastAsia="宋体" w:cs="宋体"/>
          <w:color w:val="auto"/>
          <w:kern w:val="0"/>
          <w:sz w:val="30"/>
          <w:szCs w:val="30"/>
          <w:highlight w:val="none"/>
          <w:lang w:eastAsia="zh-CN"/>
        </w:rPr>
        <w:t>减少</w:t>
      </w:r>
      <w:r>
        <w:rPr>
          <w:rFonts w:hint="eastAsia" w:ascii="宋体" w:hAnsi="宋体" w:eastAsia="宋体" w:cs="宋体"/>
          <w:color w:val="auto"/>
          <w:kern w:val="0"/>
          <w:sz w:val="30"/>
          <w:szCs w:val="30"/>
          <w:highlight w:val="none"/>
          <w:lang w:val="en-US" w:eastAsia="zh-CN"/>
        </w:rPr>
        <w:t>0.00</w:t>
      </w:r>
      <w:r>
        <w:rPr>
          <w:rFonts w:hint="eastAsia" w:ascii="宋体" w:hAnsi="宋体" w:eastAsia="宋体" w:cs="宋体"/>
          <w:color w:val="auto"/>
          <w:kern w:val="0"/>
          <w:sz w:val="30"/>
          <w:szCs w:val="30"/>
          <w:highlight w:val="none"/>
        </w:rPr>
        <w:t>万元，公务接待费支出减少主要是因为单位加强了公务接待管理，严格落实公函接待制度。公务用车运行维护费支出局机关没有车辆，公务用车</w:t>
      </w:r>
      <w:r>
        <w:rPr>
          <w:rFonts w:hint="eastAsia" w:ascii="宋体" w:hAnsi="宋体" w:eastAsia="宋体" w:cs="宋体"/>
          <w:color w:val="auto"/>
          <w:kern w:val="0"/>
          <w:sz w:val="30"/>
          <w:szCs w:val="30"/>
          <w:highlight w:val="none"/>
          <w:lang w:eastAsia="zh-CN"/>
        </w:rPr>
        <w:t>实行机关事务局派车管理</w:t>
      </w:r>
      <w:r>
        <w:rPr>
          <w:rFonts w:hint="eastAsia" w:ascii="宋体" w:hAnsi="宋体" w:eastAsia="宋体" w:cs="宋体"/>
          <w:color w:val="auto"/>
          <w:kern w:val="0"/>
          <w:sz w:val="30"/>
          <w:szCs w:val="30"/>
          <w:highlight w:val="none"/>
        </w:rPr>
        <w:t>。公务用车购置预算为零，实际没有发生购置。出国支出为零主要是因为主管部门根据当年实际情况严格审批出国事项，没有出访任务。</w:t>
      </w:r>
    </w:p>
    <w:tbl>
      <w:tblPr>
        <w:tblStyle w:val="8"/>
        <w:tblW w:w="9660" w:type="dxa"/>
        <w:tblInd w:w="21" w:type="dxa"/>
        <w:tblLayout w:type="fixed"/>
        <w:tblCellMar>
          <w:top w:w="0" w:type="dxa"/>
          <w:left w:w="0" w:type="dxa"/>
          <w:bottom w:w="0" w:type="dxa"/>
          <w:right w:w="0" w:type="dxa"/>
        </w:tblCellMar>
      </w:tblPr>
      <w:tblGrid>
        <w:gridCol w:w="2475"/>
        <w:gridCol w:w="1785"/>
        <w:gridCol w:w="1740"/>
        <w:gridCol w:w="1905"/>
        <w:gridCol w:w="1755"/>
      </w:tblGrid>
      <w:tr w14:paraId="46360D62">
        <w:tblPrEx>
          <w:tblCellMar>
            <w:top w:w="0" w:type="dxa"/>
            <w:left w:w="0" w:type="dxa"/>
            <w:bottom w:w="0" w:type="dxa"/>
            <w:right w:w="0" w:type="dxa"/>
          </w:tblCellMar>
        </w:tblPrEx>
        <w:trPr>
          <w:trHeight w:val="375" w:hRule="atLeast"/>
        </w:trPr>
        <w:tc>
          <w:tcPr>
            <w:tcW w:w="9660" w:type="dxa"/>
            <w:gridSpan w:val="5"/>
            <w:tcBorders>
              <w:top w:val="nil"/>
              <w:left w:val="nil"/>
              <w:bottom w:val="nil"/>
              <w:right w:val="nil"/>
            </w:tcBorders>
            <w:noWrap/>
            <w:tcMar>
              <w:top w:w="15" w:type="dxa"/>
              <w:left w:w="15" w:type="dxa"/>
              <w:right w:w="15" w:type="dxa"/>
            </w:tcMar>
            <w:vAlign w:val="center"/>
          </w:tcPr>
          <w:p w14:paraId="1187F4DA">
            <w:pPr>
              <w:widowControl/>
              <w:wordWrap w:val="0"/>
              <w:spacing w:before="100" w:beforeAutospacing="1" w:after="100" w:afterAutospacing="1" w:line="360" w:lineRule="auto"/>
              <w:ind w:firstLine="640"/>
              <w:jc w:val="left"/>
              <w:rPr>
                <w:rFonts w:hint="eastAsia" w:ascii="宋体" w:hAnsi="宋体" w:eastAsia="宋体" w:cs="宋体"/>
                <w:color w:val="auto"/>
                <w:sz w:val="30"/>
                <w:szCs w:val="30"/>
                <w:highlight w:val="none"/>
              </w:rPr>
            </w:pPr>
            <w:r>
              <w:rPr>
                <w:rFonts w:hint="eastAsia" w:ascii="宋体" w:hAnsi="宋体" w:eastAsia="宋体" w:cs="宋体"/>
                <w:b/>
                <w:bCs w:val="0"/>
                <w:color w:val="auto"/>
                <w:sz w:val="30"/>
                <w:szCs w:val="30"/>
                <w:highlight w:val="none"/>
              </w:rPr>
              <w:t xml:space="preserve">1.2.2 </w:t>
            </w:r>
            <w:r>
              <w:rPr>
                <w:rFonts w:hint="eastAsia" w:ascii="宋体" w:hAnsi="宋体" w:eastAsia="宋体" w:cs="宋体"/>
                <w:b/>
                <w:bCs w:val="0"/>
                <w:color w:val="auto"/>
                <w:kern w:val="0"/>
                <w:sz w:val="30"/>
                <w:szCs w:val="30"/>
                <w:highlight w:val="none"/>
              </w:rPr>
              <w:t>与上年比较，“三公经费”控制情况</w:t>
            </w:r>
            <w:r>
              <w:rPr>
                <w:rFonts w:hint="eastAsia" w:ascii="宋体" w:hAnsi="宋体" w:eastAsia="宋体" w:cs="宋体"/>
                <w:b/>
                <w:bCs w:val="0"/>
                <w:color w:val="auto"/>
                <w:kern w:val="0"/>
                <w:sz w:val="30"/>
                <w:szCs w:val="30"/>
                <w:highlight w:val="none"/>
                <w:lang w:eastAsia="zh-CN"/>
              </w:rPr>
              <w:t>表</w:t>
            </w:r>
            <w:r>
              <w:rPr>
                <w:rFonts w:hint="eastAsia" w:ascii="宋体" w:hAnsi="宋体" w:eastAsia="宋体" w:cs="宋体"/>
                <w:color w:val="auto"/>
                <w:kern w:val="0"/>
                <w:sz w:val="30"/>
                <w:szCs w:val="30"/>
                <w:highlight w:val="none"/>
              </w:rPr>
              <w:t xml:space="preserve">            单位：元</w:t>
            </w:r>
          </w:p>
        </w:tc>
      </w:tr>
      <w:tr w14:paraId="23A56B8C">
        <w:tblPrEx>
          <w:tblCellMar>
            <w:top w:w="0" w:type="dxa"/>
            <w:left w:w="0" w:type="dxa"/>
            <w:bottom w:w="0" w:type="dxa"/>
            <w:right w:w="0" w:type="dxa"/>
          </w:tblCellMar>
        </w:tblPrEx>
        <w:trPr>
          <w:trHeight w:val="653" w:hRule="atLeast"/>
        </w:trPr>
        <w:tc>
          <w:tcPr>
            <w:tcW w:w="24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BAF8C58">
            <w:pPr>
              <w:keepNext w:val="0"/>
              <w:keepLines w:val="0"/>
              <w:widowControl/>
              <w:suppressLineNumbers w:val="0"/>
              <w:spacing w:line="48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项目</w:t>
            </w:r>
          </w:p>
        </w:tc>
        <w:tc>
          <w:tcPr>
            <w:tcW w:w="1785" w:type="dxa"/>
            <w:tcBorders>
              <w:top w:val="single" w:color="auto" w:sz="4" w:space="0"/>
              <w:left w:val="nil"/>
              <w:bottom w:val="single" w:color="auto" w:sz="4" w:space="0"/>
              <w:right w:val="single" w:color="auto" w:sz="4" w:space="0"/>
            </w:tcBorders>
            <w:tcMar>
              <w:top w:w="15" w:type="dxa"/>
              <w:left w:w="15" w:type="dxa"/>
              <w:right w:w="15" w:type="dxa"/>
            </w:tcMar>
            <w:vAlign w:val="center"/>
          </w:tcPr>
          <w:p w14:paraId="3B4A8805">
            <w:pPr>
              <w:keepNext w:val="0"/>
              <w:keepLines w:val="0"/>
              <w:widowControl/>
              <w:suppressLineNumbers w:val="0"/>
              <w:spacing w:line="48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2022年决算数</w:t>
            </w:r>
          </w:p>
        </w:tc>
        <w:tc>
          <w:tcPr>
            <w:tcW w:w="1740" w:type="dxa"/>
            <w:tcBorders>
              <w:top w:val="single" w:color="auto" w:sz="4" w:space="0"/>
              <w:left w:val="nil"/>
              <w:bottom w:val="single" w:color="auto" w:sz="4" w:space="0"/>
              <w:right w:val="single" w:color="auto" w:sz="4" w:space="0"/>
            </w:tcBorders>
            <w:tcMar>
              <w:top w:w="15" w:type="dxa"/>
              <w:left w:w="15" w:type="dxa"/>
              <w:right w:w="15" w:type="dxa"/>
            </w:tcMar>
            <w:vAlign w:val="center"/>
          </w:tcPr>
          <w:p w14:paraId="014C37D8">
            <w:pPr>
              <w:keepNext w:val="0"/>
              <w:keepLines w:val="0"/>
              <w:widowControl/>
              <w:suppressLineNumbers w:val="0"/>
              <w:spacing w:line="48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本年决算数</w:t>
            </w:r>
          </w:p>
        </w:tc>
        <w:tc>
          <w:tcPr>
            <w:tcW w:w="1905" w:type="dxa"/>
            <w:tcBorders>
              <w:top w:val="single" w:color="auto" w:sz="4" w:space="0"/>
              <w:left w:val="nil"/>
              <w:bottom w:val="single" w:color="auto" w:sz="4" w:space="0"/>
              <w:right w:val="single" w:color="auto" w:sz="4" w:space="0"/>
            </w:tcBorders>
            <w:tcMar>
              <w:top w:w="15" w:type="dxa"/>
              <w:left w:w="15" w:type="dxa"/>
              <w:right w:w="15" w:type="dxa"/>
            </w:tcMar>
            <w:vAlign w:val="center"/>
          </w:tcPr>
          <w:p w14:paraId="2AB623D9">
            <w:pPr>
              <w:keepNext w:val="0"/>
              <w:keepLines w:val="0"/>
              <w:widowControl/>
              <w:suppressLineNumbers w:val="0"/>
              <w:spacing w:line="48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决算比上年增加</w:t>
            </w:r>
          </w:p>
        </w:tc>
        <w:tc>
          <w:tcPr>
            <w:tcW w:w="1755" w:type="dxa"/>
            <w:tcBorders>
              <w:top w:val="single" w:color="auto" w:sz="4" w:space="0"/>
              <w:left w:val="nil"/>
              <w:bottom w:val="single" w:color="auto" w:sz="4" w:space="0"/>
              <w:right w:val="single" w:color="auto" w:sz="4" w:space="0"/>
            </w:tcBorders>
            <w:tcMar>
              <w:top w:w="15" w:type="dxa"/>
              <w:left w:w="15" w:type="dxa"/>
              <w:right w:w="15" w:type="dxa"/>
            </w:tcMar>
            <w:vAlign w:val="center"/>
          </w:tcPr>
          <w:p w14:paraId="7F7C2A9D">
            <w:pPr>
              <w:keepNext w:val="0"/>
              <w:keepLines w:val="0"/>
              <w:widowControl/>
              <w:suppressLineNumbers w:val="0"/>
              <w:spacing w:line="48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增加比例%</w:t>
            </w:r>
          </w:p>
        </w:tc>
      </w:tr>
      <w:tr w14:paraId="36D20CEB">
        <w:tblPrEx>
          <w:tblCellMar>
            <w:top w:w="0" w:type="dxa"/>
            <w:left w:w="0" w:type="dxa"/>
            <w:bottom w:w="0" w:type="dxa"/>
            <w:right w:w="0" w:type="dxa"/>
          </w:tblCellMar>
        </w:tblPrEx>
        <w:trPr>
          <w:trHeight w:val="285" w:hRule="atLeast"/>
        </w:trPr>
        <w:tc>
          <w:tcPr>
            <w:tcW w:w="2475" w:type="dxa"/>
            <w:tcBorders>
              <w:top w:val="nil"/>
              <w:left w:val="single" w:color="auto" w:sz="4" w:space="0"/>
              <w:bottom w:val="single" w:color="auto" w:sz="4" w:space="0"/>
              <w:right w:val="single" w:color="auto" w:sz="4" w:space="0"/>
            </w:tcBorders>
            <w:tcMar>
              <w:top w:w="15" w:type="dxa"/>
              <w:left w:w="15" w:type="dxa"/>
              <w:right w:w="15" w:type="dxa"/>
            </w:tcMar>
            <w:vAlign w:val="center"/>
          </w:tcPr>
          <w:p w14:paraId="10493FD9">
            <w:pPr>
              <w:keepNext w:val="0"/>
              <w:keepLines w:val="0"/>
              <w:widowControl/>
              <w:suppressLineNumbers w:val="0"/>
              <w:spacing w:line="48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公务接待费</w:t>
            </w:r>
          </w:p>
        </w:tc>
        <w:tc>
          <w:tcPr>
            <w:tcW w:w="1785" w:type="dxa"/>
            <w:tcBorders>
              <w:top w:val="nil"/>
              <w:left w:val="nil"/>
              <w:bottom w:val="single" w:color="auto" w:sz="4" w:space="0"/>
              <w:right w:val="single" w:color="auto" w:sz="4" w:space="0"/>
            </w:tcBorders>
            <w:tcMar>
              <w:top w:w="15" w:type="dxa"/>
              <w:left w:w="15" w:type="dxa"/>
              <w:right w:w="15" w:type="dxa"/>
            </w:tcMar>
            <w:vAlign w:val="center"/>
          </w:tcPr>
          <w:p w14:paraId="6DA6695E">
            <w:pPr>
              <w:keepNext w:val="0"/>
              <w:keepLines w:val="0"/>
              <w:widowControl/>
              <w:suppressLineNumbers w:val="0"/>
              <w:spacing w:line="48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25,170.00</w:t>
            </w:r>
          </w:p>
        </w:tc>
        <w:tc>
          <w:tcPr>
            <w:tcW w:w="1740" w:type="dxa"/>
            <w:tcBorders>
              <w:top w:val="nil"/>
              <w:left w:val="nil"/>
              <w:bottom w:val="single" w:color="auto" w:sz="4" w:space="0"/>
              <w:right w:val="single" w:color="auto" w:sz="4" w:space="0"/>
            </w:tcBorders>
            <w:tcMar>
              <w:top w:w="15" w:type="dxa"/>
              <w:left w:w="15" w:type="dxa"/>
              <w:right w:w="15" w:type="dxa"/>
            </w:tcMar>
            <w:vAlign w:val="center"/>
          </w:tcPr>
          <w:p w14:paraId="6CA34FA8">
            <w:pPr>
              <w:keepNext w:val="0"/>
              <w:keepLines w:val="0"/>
              <w:widowControl/>
              <w:suppressLineNumbers w:val="0"/>
              <w:spacing w:line="48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25,000.00</w:t>
            </w:r>
          </w:p>
        </w:tc>
        <w:tc>
          <w:tcPr>
            <w:tcW w:w="1905" w:type="dxa"/>
            <w:tcBorders>
              <w:top w:val="nil"/>
              <w:left w:val="nil"/>
              <w:bottom w:val="single" w:color="auto" w:sz="4" w:space="0"/>
              <w:right w:val="single" w:color="auto" w:sz="4" w:space="0"/>
            </w:tcBorders>
            <w:tcMar>
              <w:top w:w="15" w:type="dxa"/>
              <w:left w:w="15" w:type="dxa"/>
              <w:right w:w="15" w:type="dxa"/>
            </w:tcMar>
            <w:vAlign w:val="center"/>
          </w:tcPr>
          <w:p w14:paraId="610801DE">
            <w:pPr>
              <w:keepNext w:val="0"/>
              <w:keepLines w:val="0"/>
              <w:widowControl/>
              <w:suppressLineNumbers w:val="0"/>
              <w:spacing w:line="48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-170.00</w:t>
            </w:r>
          </w:p>
        </w:tc>
        <w:tc>
          <w:tcPr>
            <w:tcW w:w="1755" w:type="dxa"/>
            <w:tcBorders>
              <w:top w:val="nil"/>
              <w:left w:val="nil"/>
              <w:bottom w:val="single" w:color="auto" w:sz="4" w:space="0"/>
              <w:right w:val="single" w:color="auto" w:sz="4" w:space="0"/>
            </w:tcBorders>
            <w:tcMar>
              <w:top w:w="15" w:type="dxa"/>
              <w:left w:w="15" w:type="dxa"/>
              <w:right w:w="15" w:type="dxa"/>
            </w:tcMar>
            <w:vAlign w:val="center"/>
          </w:tcPr>
          <w:p w14:paraId="25C6D646">
            <w:pPr>
              <w:keepNext w:val="0"/>
              <w:keepLines w:val="0"/>
              <w:widowControl/>
              <w:suppressLineNumbers w:val="0"/>
              <w:spacing w:line="48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-0.68%</w:t>
            </w:r>
          </w:p>
        </w:tc>
      </w:tr>
      <w:tr w14:paraId="7F368489">
        <w:tblPrEx>
          <w:tblCellMar>
            <w:top w:w="0" w:type="dxa"/>
            <w:left w:w="0" w:type="dxa"/>
            <w:bottom w:w="0" w:type="dxa"/>
            <w:right w:w="0" w:type="dxa"/>
          </w:tblCellMar>
        </w:tblPrEx>
        <w:trPr>
          <w:trHeight w:val="285" w:hRule="atLeast"/>
        </w:trPr>
        <w:tc>
          <w:tcPr>
            <w:tcW w:w="2475" w:type="dxa"/>
            <w:tcBorders>
              <w:top w:val="nil"/>
              <w:left w:val="single" w:color="auto" w:sz="4" w:space="0"/>
              <w:bottom w:val="single" w:color="auto" w:sz="4" w:space="0"/>
              <w:right w:val="single" w:color="auto" w:sz="4" w:space="0"/>
            </w:tcBorders>
            <w:tcMar>
              <w:top w:w="15" w:type="dxa"/>
              <w:left w:w="15" w:type="dxa"/>
              <w:right w:w="15" w:type="dxa"/>
            </w:tcMar>
            <w:vAlign w:val="center"/>
          </w:tcPr>
          <w:p w14:paraId="335EDDC8">
            <w:pPr>
              <w:keepNext w:val="0"/>
              <w:keepLines w:val="0"/>
              <w:widowControl/>
              <w:suppressLineNumbers w:val="0"/>
              <w:spacing w:line="48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1785" w:type="dxa"/>
            <w:tcBorders>
              <w:top w:val="nil"/>
              <w:left w:val="nil"/>
              <w:bottom w:val="single" w:color="auto" w:sz="4" w:space="0"/>
              <w:right w:val="single" w:color="auto" w:sz="4" w:space="0"/>
            </w:tcBorders>
            <w:tcMar>
              <w:top w:w="15" w:type="dxa"/>
              <w:left w:w="15" w:type="dxa"/>
              <w:right w:w="15" w:type="dxa"/>
            </w:tcMar>
            <w:vAlign w:val="center"/>
          </w:tcPr>
          <w:p w14:paraId="478122CB">
            <w:pPr>
              <w:keepNext w:val="0"/>
              <w:keepLines w:val="0"/>
              <w:widowControl/>
              <w:suppressLineNumbers w:val="0"/>
              <w:spacing w:line="48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30,000.00</w:t>
            </w:r>
          </w:p>
        </w:tc>
        <w:tc>
          <w:tcPr>
            <w:tcW w:w="1740" w:type="dxa"/>
            <w:tcBorders>
              <w:top w:val="nil"/>
              <w:left w:val="nil"/>
              <w:bottom w:val="single" w:color="auto" w:sz="4" w:space="0"/>
              <w:right w:val="single" w:color="auto" w:sz="4" w:space="0"/>
            </w:tcBorders>
            <w:tcMar>
              <w:top w:w="15" w:type="dxa"/>
              <w:left w:w="15" w:type="dxa"/>
              <w:right w:w="15" w:type="dxa"/>
            </w:tcMar>
            <w:vAlign w:val="center"/>
          </w:tcPr>
          <w:p w14:paraId="04FA49A9">
            <w:pPr>
              <w:keepNext w:val="0"/>
              <w:keepLines w:val="0"/>
              <w:widowControl/>
              <w:suppressLineNumbers w:val="0"/>
              <w:spacing w:line="48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30,000.00</w:t>
            </w:r>
          </w:p>
        </w:tc>
        <w:tc>
          <w:tcPr>
            <w:tcW w:w="1905" w:type="dxa"/>
            <w:tcBorders>
              <w:top w:val="nil"/>
              <w:left w:val="nil"/>
              <w:bottom w:val="single" w:color="auto" w:sz="4" w:space="0"/>
              <w:right w:val="single" w:color="auto" w:sz="4" w:space="0"/>
            </w:tcBorders>
            <w:tcMar>
              <w:top w:w="15" w:type="dxa"/>
              <w:left w:w="15" w:type="dxa"/>
              <w:right w:w="15" w:type="dxa"/>
            </w:tcMar>
            <w:vAlign w:val="center"/>
          </w:tcPr>
          <w:p w14:paraId="68F44A5F">
            <w:pPr>
              <w:keepNext w:val="0"/>
              <w:keepLines w:val="0"/>
              <w:widowControl/>
              <w:suppressLineNumbers w:val="0"/>
              <w:spacing w:line="48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755" w:type="dxa"/>
            <w:tcBorders>
              <w:top w:val="nil"/>
              <w:left w:val="nil"/>
              <w:bottom w:val="single" w:color="auto" w:sz="4" w:space="0"/>
              <w:right w:val="single" w:color="auto" w:sz="4" w:space="0"/>
            </w:tcBorders>
            <w:tcMar>
              <w:top w:w="15" w:type="dxa"/>
              <w:left w:w="15" w:type="dxa"/>
              <w:right w:w="15" w:type="dxa"/>
            </w:tcMar>
            <w:vAlign w:val="center"/>
          </w:tcPr>
          <w:p w14:paraId="6241B608">
            <w:pPr>
              <w:keepNext w:val="0"/>
              <w:keepLines w:val="0"/>
              <w:widowControl/>
              <w:suppressLineNumbers w:val="0"/>
              <w:spacing w:line="48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01C7135F">
        <w:tblPrEx>
          <w:tblCellMar>
            <w:top w:w="0" w:type="dxa"/>
            <w:left w:w="0" w:type="dxa"/>
            <w:bottom w:w="0" w:type="dxa"/>
            <w:right w:w="0" w:type="dxa"/>
          </w:tblCellMar>
        </w:tblPrEx>
        <w:trPr>
          <w:trHeight w:val="285" w:hRule="atLeast"/>
        </w:trPr>
        <w:tc>
          <w:tcPr>
            <w:tcW w:w="2475" w:type="dxa"/>
            <w:tcBorders>
              <w:top w:val="nil"/>
              <w:left w:val="single" w:color="auto" w:sz="4" w:space="0"/>
              <w:bottom w:val="single" w:color="auto" w:sz="4" w:space="0"/>
              <w:right w:val="single" w:color="auto" w:sz="4" w:space="0"/>
            </w:tcBorders>
            <w:tcMar>
              <w:top w:w="15" w:type="dxa"/>
              <w:left w:w="15" w:type="dxa"/>
              <w:right w:w="15" w:type="dxa"/>
            </w:tcMar>
            <w:vAlign w:val="center"/>
          </w:tcPr>
          <w:p w14:paraId="76564ABF">
            <w:pPr>
              <w:keepNext w:val="0"/>
              <w:keepLines w:val="0"/>
              <w:widowControl/>
              <w:suppressLineNumbers w:val="0"/>
              <w:spacing w:line="48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公务用车购置</w:t>
            </w:r>
          </w:p>
        </w:tc>
        <w:tc>
          <w:tcPr>
            <w:tcW w:w="1785" w:type="dxa"/>
            <w:tcBorders>
              <w:top w:val="nil"/>
              <w:left w:val="nil"/>
              <w:bottom w:val="single" w:color="auto" w:sz="4" w:space="0"/>
              <w:right w:val="single" w:color="auto" w:sz="4" w:space="0"/>
            </w:tcBorders>
            <w:tcMar>
              <w:top w:w="15" w:type="dxa"/>
              <w:left w:w="15" w:type="dxa"/>
              <w:right w:w="15" w:type="dxa"/>
            </w:tcMar>
            <w:vAlign w:val="top"/>
          </w:tcPr>
          <w:p w14:paraId="1A32F8C0">
            <w:pPr>
              <w:keepNext w:val="0"/>
              <w:keepLines w:val="0"/>
              <w:widowControl/>
              <w:suppressLineNumbers w:val="0"/>
              <w:spacing w:line="48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740" w:type="dxa"/>
            <w:tcBorders>
              <w:top w:val="nil"/>
              <w:left w:val="nil"/>
              <w:bottom w:val="single" w:color="auto" w:sz="4" w:space="0"/>
              <w:right w:val="single" w:color="auto" w:sz="4" w:space="0"/>
            </w:tcBorders>
            <w:tcMar>
              <w:top w:w="15" w:type="dxa"/>
              <w:left w:w="15" w:type="dxa"/>
              <w:right w:w="15" w:type="dxa"/>
            </w:tcMar>
            <w:vAlign w:val="top"/>
          </w:tcPr>
          <w:p w14:paraId="04B900B3">
            <w:pPr>
              <w:keepNext w:val="0"/>
              <w:keepLines w:val="0"/>
              <w:widowControl/>
              <w:suppressLineNumbers w:val="0"/>
              <w:spacing w:line="48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905" w:type="dxa"/>
            <w:tcBorders>
              <w:top w:val="nil"/>
              <w:left w:val="nil"/>
              <w:bottom w:val="single" w:color="auto" w:sz="4" w:space="0"/>
              <w:right w:val="single" w:color="auto" w:sz="4" w:space="0"/>
            </w:tcBorders>
            <w:tcMar>
              <w:top w:w="15" w:type="dxa"/>
              <w:left w:w="15" w:type="dxa"/>
              <w:right w:w="15" w:type="dxa"/>
            </w:tcMar>
            <w:vAlign w:val="center"/>
          </w:tcPr>
          <w:p w14:paraId="4114A036">
            <w:pPr>
              <w:keepNext w:val="0"/>
              <w:keepLines w:val="0"/>
              <w:widowControl/>
              <w:suppressLineNumbers w:val="0"/>
              <w:spacing w:line="48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755" w:type="dxa"/>
            <w:tcBorders>
              <w:top w:val="nil"/>
              <w:left w:val="nil"/>
              <w:bottom w:val="single" w:color="auto" w:sz="4" w:space="0"/>
              <w:right w:val="single" w:color="auto" w:sz="4" w:space="0"/>
            </w:tcBorders>
            <w:tcMar>
              <w:top w:w="15" w:type="dxa"/>
              <w:left w:w="15" w:type="dxa"/>
              <w:right w:w="15" w:type="dxa"/>
            </w:tcMar>
            <w:vAlign w:val="center"/>
          </w:tcPr>
          <w:p w14:paraId="71C9167E">
            <w:pPr>
              <w:keepNext w:val="0"/>
              <w:keepLines w:val="0"/>
              <w:widowControl/>
              <w:suppressLineNumbers w:val="0"/>
              <w:spacing w:line="48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3B5D5872">
        <w:tblPrEx>
          <w:tblCellMar>
            <w:top w:w="0" w:type="dxa"/>
            <w:left w:w="0" w:type="dxa"/>
            <w:bottom w:w="0" w:type="dxa"/>
            <w:right w:w="0" w:type="dxa"/>
          </w:tblCellMar>
        </w:tblPrEx>
        <w:trPr>
          <w:trHeight w:val="285" w:hRule="atLeast"/>
        </w:trPr>
        <w:tc>
          <w:tcPr>
            <w:tcW w:w="2475" w:type="dxa"/>
            <w:tcBorders>
              <w:top w:val="nil"/>
              <w:left w:val="single" w:color="auto" w:sz="4" w:space="0"/>
              <w:bottom w:val="single" w:color="auto" w:sz="4" w:space="0"/>
              <w:right w:val="single" w:color="auto" w:sz="4" w:space="0"/>
            </w:tcBorders>
            <w:tcMar>
              <w:top w:w="15" w:type="dxa"/>
              <w:left w:w="15" w:type="dxa"/>
              <w:right w:w="15" w:type="dxa"/>
            </w:tcMar>
            <w:vAlign w:val="center"/>
          </w:tcPr>
          <w:p w14:paraId="16CB448A">
            <w:pPr>
              <w:keepNext w:val="0"/>
              <w:keepLines w:val="0"/>
              <w:widowControl/>
              <w:suppressLineNumbers w:val="0"/>
              <w:spacing w:line="48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因公出国（境）费用</w:t>
            </w:r>
          </w:p>
        </w:tc>
        <w:tc>
          <w:tcPr>
            <w:tcW w:w="1785" w:type="dxa"/>
            <w:tcBorders>
              <w:top w:val="nil"/>
              <w:left w:val="nil"/>
              <w:bottom w:val="single" w:color="auto" w:sz="4" w:space="0"/>
              <w:right w:val="single" w:color="auto" w:sz="4" w:space="0"/>
            </w:tcBorders>
            <w:tcMar>
              <w:top w:w="15" w:type="dxa"/>
              <w:left w:w="15" w:type="dxa"/>
              <w:right w:w="15" w:type="dxa"/>
            </w:tcMar>
            <w:vAlign w:val="top"/>
          </w:tcPr>
          <w:p w14:paraId="0B82EBC2">
            <w:pPr>
              <w:keepNext w:val="0"/>
              <w:keepLines w:val="0"/>
              <w:widowControl/>
              <w:suppressLineNumbers w:val="0"/>
              <w:spacing w:line="48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740" w:type="dxa"/>
            <w:tcBorders>
              <w:top w:val="nil"/>
              <w:left w:val="nil"/>
              <w:bottom w:val="single" w:color="auto" w:sz="4" w:space="0"/>
              <w:right w:val="single" w:color="auto" w:sz="4" w:space="0"/>
            </w:tcBorders>
            <w:tcMar>
              <w:top w:w="15" w:type="dxa"/>
              <w:left w:w="15" w:type="dxa"/>
              <w:right w:w="15" w:type="dxa"/>
            </w:tcMar>
            <w:vAlign w:val="top"/>
          </w:tcPr>
          <w:p w14:paraId="2C8AF148">
            <w:pPr>
              <w:keepNext w:val="0"/>
              <w:keepLines w:val="0"/>
              <w:widowControl/>
              <w:suppressLineNumbers w:val="0"/>
              <w:spacing w:line="48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905" w:type="dxa"/>
            <w:tcBorders>
              <w:top w:val="nil"/>
              <w:left w:val="nil"/>
              <w:bottom w:val="single" w:color="auto" w:sz="4" w:space="0"/>
              <w:right w:val="single" w:color="auto" w:sz="4" w:space="0"/>
            </w:tcBorders>
            <w:tcMar>
              <w:top w:w="15" w:type="dxa"/>
              <w:left w:w="15" w:type="dxa"/>
              <w:right w:w="15" w:type="dxa"/>
            </w:tcMar>
            <w:vAlign w:val="center"/>
          </w:tcPr>
          <w:p w14:paraId="61E05309">
            <w:pPr>
              <w:keepNext w:val="0"/>
              <w:keepLines w:val="0"/>
              <w:widowControl/>
              <w:suppressLineNumbers w:val="0"/>
              <w:spacing w:line="48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755" w:type="dxa"/>
            <w:tcBorders>
              <w:top w:val="nil"/>
              <w:left w:val="nil"/>
              <w:bottom w:val="single" w:color="auto" w:sz="4" w:space="0"/>
              <w:right w:val="single" w:color="auto" w:sz="4" w:space="0"/>
            </w:tcBorders>
            <w:tcMar>
              <w:top w:w="15" w:type="dxa"/>
              <w:left w:w="15" w:type="dxa"/>
              <w:right w:w="15" w:type="dxa"/>
            </w:tcMar>
            <w:vAlign w:val="center"/>
          </w:tcPr>
          <w:p w14:paraId="0DE96F35">
            <w:pPr>
              <w:keepNext w:val="0"/>
              <w:keepLines w:val="0"/>
              <w:widowControl/>
              <w:suppressLineNumbers w:val="0"/>
              <w:spacing w:line="48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4B1CA90F">
        <w:tblPrEx>
          <w:tblCellMar>
            <w:top w:w="0" w:type="dxa"/>
            <w:left w:w="0" w:type="dxa"/>
            <w:bottom w:w="0" w:type="dxa"/>
            <w:right w:w="0" w:type="dxa"/>
          </w:tblCellMar>
        </w:tblPrEx>
        <w:trPr>
          <w:trHeight w:val="285" w:hRule="atLeast"/>
        </w:trPr>
        <w:tc>
          <w:tcPr>
            <w:tcW w:w="2475" w:type="dxa"/>
            <w:tcBorders>
              <w:top w:val="nil"/>
              <w:left w:val="single" w:color="auto" w:sz="4" w:space="0"/>
              <w:bottom w:val="single" w:color="auto" w:sz="4" w:space="0"/>
              <w:right w:val="single" w:color="auto" w:sz="4" w:space="0"/>
            </w:tcBorders>
            <w:tcMar>
              <w:top w:w="15" w:type="dxa"/>
              <w:left w:w="15" w:type="dxa"/>
              <w:right w:w="15" w:type="dxa"/>
            </w:tcMar>
            <w:vAlign w:val="center"/>
          </w:tcPr>
          <w:p w14:paraId="5A9E1014">
            <w:pPr>
              <w:keepNext w:val="0"/>
              <w:keepLines w:val="0"/>
              <w:widowControl/>
              <w:suppressLineNumbers w:val="0"/>
              <w:spacing w:line="48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合计</w:t>
            </w:r>
          </w:p>
        </w:tc>
        <w:tc>
          <w:tcPr>
            <w:tcW w:w="1785" w:type="dxa"/>
            <w:tcBorders>
              <w:top w:val="nil"/>
              <w:left w:val="nil"/>
              <w:bottom w:val="single" w:color="auto" w:sz="4" w:space="0"/>
              <w:right w:val="single" w:color="auto" w:sz="4" w:space="0"/>
            </w:tcBorders>
            <w:tcMar>
              <w:top w:w="15" w:type="dxa"/>
              <w:left w:w="15" w:type="dxa"/>
              <w:right w:w="15" w:type="dxa"/>
            </w:tcMar>
            <w:vAlign w:val="top"/>
          </w:tcPr>
          <w:p w14:paraId="2404F8D9">
            <w:pPr>
              <w:keepNext w:val="0"/>
              <w:keepLines w:val="0"/>
              <w:widowControl/>
              <w:suppressLineNumbers w:val="0"/>
              <w:spacing w:line="48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55,170.00</w:t>
            </w:r>
          </w:p>
        </w:tc>
        <w:tc>
          <w:tcPr>
            <w:tcW w:w="1740" w:type="dxa"/>
            <w:tcBorders>
              <w:top w:val="nil"/>
              <w:left w:val="nil"/>
              <w:bottom w:val="single" w:color="auto" w:sz="4" w:space="0"/>
              <w:right w:val="single" w:color="auto" w:sz="4" w:space="0"/>
            </w:tcBorders>
            <w:tcMar>
              <w:top w:w="15" w:type="dxa"/>
              <w:left w:w="15" w:type="dxa"/>
              <w:right w:w="15" w:type="dxa"/>
            </w:tcMar>
            <w:vAlign w:val="top"/>
          </w:tcPr>
          <w:p w14:paraId="3DD5016A">
            <w:pPr>
              <w:keepNext w:val="0"/>
              <w:keepLines w:val="0"/>
              <w:widowControl/>
              <w:suppressLineNumbers w:val="0"/>
              <w:spacing w:line="48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55,000.00</w:t>
            </w:r>
          </w:p>
        </w:tc>
        <w:tc>
          <w:tcPr>
            <w:tcW w:w="1905" w:type="dxa"/>
            <w:tcBorders>
              <w:top w:val="nil"/>
              <w:left w:val="nil"/>
              <w:bottom w:val="single" w:color="auto" w:sz="4" w:space="0"/>
              <w:right w:val="single" w:color="auto" w:sz="4" w:space="0"/>
            </w:tcBorders>
            <w:tcMar>
              <w:top w:w="15" w:type="dxa"/>
              <w:left w:w="15" w:type="dxa"/>
              <w:right w:w="15" w:type="dxa"/>
            </w:tcMar>
            <w:vAlign w:val="center"/>
          </w:tcPr>
          <w:p w14:paraId="2008A7A3">
            <w:pPr>
              <w:keepNext w:val="0"/>
              <w:keepLines w:val="0"/>
              <w:widowControl/>
              <w:suppressLineNumbers w:val="0"/>
              <w:spacing w:line="48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-170.00</w:t>
            </w:r>
          </w:p>
        </w:tc>
        <w:tc>
          <w:tcPr>
            <w:tcW w:w="1755" w:type="dxa"/>
            <w:tcBorders>
              <w:top w:val="nil"/>
              <w:left w:val="nil"/>
              <w:bottom w:val="single" w:color="auto" w:sz="4" w:space="0"/>
              <w:right w:val="single" w:color="auto" w:sz="4" w:space="0"/>
            </w:tcBorders>
            <w:tcMar>
              <w:top w:w="15" w:type="dxa"/>
              <w:left w:w="15" w:type="dxa"/>
              <w:right w:w="15" w:type="dxa"/>
            </w:tcMar>
            <w:vAlign w:val="center"/>
          </w:tcPr>
          <w:p w14:paraId="33D962DB">
            <w:pPr>
              <w:keepNext w:val="0"/>
              <w:keepLines w:val="0"/>
              <w:widowControl/>
              <w:suppressLineNumbers w:val="0"/>
              <w:spacing w:line="48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-0.31%</w:t>
            </w:r>
          </w:p>
        </w:tc>
      </w:tr>
    </w:tbl>
    <w:p w14:paraId="36AD5BB3">
      <w:pPr>
        <w:spacing w:line="360" w:lineRule="auto"/>
        <w:ind w:firstLine="600" w:firstLineChars="200"/>
        <w:rPr>
          <w:rFonts w:hint="eastAsia" w:ascii="宋体" w:hAnsi="宋体" w:eastAsia="宋体" w:cs="宋体"/>
          <w:bCs/>
          <w:color w:val="auto"/>
          <w:sz w:val="30"/>
          <w:szCs w:val="30"/>
          <w:highlight w:val="none"/>
        </w:rPr>
      </w:pPr>
      <w:r>
        <w:rPr>
          <w:rFonts w:hint="eastAsia" w:ascii="宋体" w:hAnsi="宋体" w:eastAsia="宋体" w:cs="宋体"/>
          <w:color w:val="auto"/>
          <w:kern w:val="0"/>
          <w:sz w:val="30"/>
          <w:szCs w:val="30"/>
          <w:highlight w:val="none"/>
          <w:lang w:eastAsia="zh-CN"/>
        </w:rPr>
        <w:t>2023年</w:t>
      </w:r>
      <w:r>
        <w:rPr>
          <w:rFonts w:hint="eastAsia" w:ascii="宋体" w:hAnsi="宋体" w:eastAsia="宋体" w:cs="宋体"/>
          <w:color w:val="auto"/>
          <w:kern w:val="0"/>
          <w:sz w:val="30"/>
          <w:szCs w:val="30"/>
          <w:highlight w:val="none"/>
        </w:rPr>
        <w:t>度“三公经费”决算数</w:t>
      </w:r>
      <w:r>
        <w:rPr>
          <w:rFonts w:hint="eastAsia" w:ascii="宋体" w:hAnsi="宋体" w:eastAsia="宋体" w:cs="宋体"/>
          <w:color w:val="auto"/>
          <w:kern w:val="0"/>
          <w:sz w:val="30"/>
          <w:szCs w:val="30"/>
          <w:highlight w:val="none"/>
          <w:lang w:val="en-US" w:eastAsia="zh-CN"/>
        </w:rPr>
        <w:t>5.50</w:t>
      </w:r>
      <w:r>
        <w:rPr>
          <w:rFonts w:hint="eastAsia" w:ascii="宋体" w:hAnsi="宋体" w:eastAsia="宋体" w:cs="宋体"/>
          <w:color w:val="auto"/>
          <w:kern w:val="0"/>
          <w:sz w:val="30"/>
          <w:szCs w:val="30"/>
          <w:highlight w:val="none"/>
        </w:rPr>
        <w:t>万元，202</w:t>
      </w:r>
      <w:r>
        <w:rPr>
          <w:rFonts w:hint="eastAsia" w:ascii="宋体" w:hAnsi="宋体" w:eastAsia="宋体" w:cs="宋体"/>
          <w:color w:val="auto"/>
          <w:kern w:val="0"/>
          <w:sz w:val="30"/>
          <w:szCs w:val="30"/>
          <w:highlight w:val="none"/>
          <w:lang w:val="en-US" w:eastAsia="zh-CN"/>
        </w:rPr>
        <w:t>2</w:t>
      </w:r>
      <w:r>
        <w:rPr>
          <w:rFonts w:hint="eastAsia" w:ascii="宋体" w:hAnsi="宋体" w:eastAsia="宋体" w:cs="宋体"/>
          <w:color w:val="auto"/>
          <w:kern w:val="0"/>
          <w:sz w:val="30"/>
          <w:szCs w:val="30"/>
          <w:highlight w:val="none"/>
        </w:rPr>
        <w:t>年度“三公经费”决算数</w:t>
      </w:r>
      <w:r>
        <w:rPr>
          <w:rFonts w:hint="eastAsia" w:ascii="宋体" w:hAnsi="宋体" w:eastAsia="宋体" w:cs="宋体"/>
          <w:color w:val="auto"/>
          <w:kern w:val="0"/>
          <w:sz w:val="30"/>
          <w:szCs w:val="30"/>
          <w:highlight w:val="none"/>
          <w:lang w:val="en-US" w:eastAsia="zh-CN"/>
        </w:rPr>
        <w:t>5.517</w:t>
      </w:r>
      <w:r>
        <w:rPr>
          <w:rFonts w:hint="eastAsia" w:ascii="宋体" w:hAnsi="宋体" w:eastAsia="宋体" w:cs="宋体"/>
          <w:color w:val="auto"/>
          <w:kern w:val="0"/>
          <w:sz w:val="30"/>
          <w:szCs w:val="30"/>
          <w:highlight w:val="none"/>
        </w:rPr>
        <w:t>万元，</w:t>
      </w:r>
      <w:r>
        <w:rPr>
          <w:rFonts w:hint="eastAsia" w:ascii="宋体" w:hAnsi="宋体" w:eastAsia="宋体" w:cs="宋体"/>
          <w:color w:val="auto"/>
          <w:kern w:val="0"/>
          <w:sz w:val="30"/>
          <w:szCs w:val="30"/>
          <w:highlight w:val="none"/>
          <w:lang w:eastAsia="zh-CN"/>
        </w:rPr>
        <w:t>2023年</w:t>
      </w:r>
      <w:r>
        <w:rPr>
          <w:rFonts w:hint="eastAsia" w:ascii="宋体" w:hAnsi="宋体" w:eastAsia="宋体" w:cs="宋体"/>
          <w:color w:val="auto"/>
          <w:kern w:val="0"/>
          <w:sz w:val="30"/>
          <w:szCs w:val="30"/>
          <w:highlight w:val="none"/>
        </w:rPr>
        <w:t>决算数比202</w:t>
      </w:r>
      <w:r>
        <w:rPr>
          <w:rFonts w:hint="eastAsia" w:ascii="宋体" w:hAnsi="宋体" w:eastAsia="宋体" w:cs="宋体"/>
          <w:color w:val="auto"/>
          <w:kern w:val="0"/>
          <w:sz w:val="30"/>
          <w:szCs w:val="30"/>
          <w:highlight w:val="none"/>
          <w:lang w:val="en-US" w:eastAsia="zh-CN"/>
        </w:rPr>
        <w:t>2</w:t>
      </w:r>
      <w:r>
        <w:rPr>
          <w:rFonts w:hint="eastAsia" w:ascii="宋体" w:hAnsi="宋体" w:eastAsia="宋体" w:cs="宋体"/>
          <w:color w:val="auto"/>
          <w:kern w:val="0"/>
          <w:sz w:val="30"/>
          <w:szCs w:val="30"/>
          <w:highlight w:val="none"/>
        </w:rPr>
        <w:t>年决算数</w:t>
      </w:r>
      <w:r>
        <w:rPr>
          <w:rFonts w:hint="eastAsia" w:ascii="宋体" w:hAnsi="宋体" w:eastAsia="宋体" w:cs="宋体"/>
          <w:color w:val="auto"/>
          <w:kern w:val="0"/>
          <w:sz w:val="30"/>
          <w:szCs w:val="30"/>
          <w:highlight w:val="none"/>
          <w:lang w:eastAsia="zh-CN"/>
        </w:rPr>
        <w:t>减少</w:t>
      </w:r>
      <w:r>
        <w:rPr>
          <w:rFonts w:hint="eastAsia" w:ascii="宋体" w:hAnsi="宋体" w:eastAsia="宋体" w:cs="宋体"/>
          <w:color w:val="auto"/>
          <w:kern w:val="0"/>
          <w:sz w:val="30"/>
          <w:szCs w:val="30"/>
          <w:highlight w:val="none"/>
          <w:lang w:val="en-US" w:eastAsia="zh-CN"/>
        </w:rPr>
        <w:t>0.017</w:t>
      </w:r>
      <w:r>
        <w:rPr>
          <w:rFonts w:hint="eastAsia" w:ascii="宋体" w:hAnsi="宋体" w:eastAsia="宋体" w:cs="宋体"/>
          <w:color w:val="auto"/>
          <w:kern w:val="0"/>
          <w:sz w:val="30"/>
          <w:szCs w:val="30"/>
          <w:highlight w:val="none"/>
        </w:rPr>
        <w:t>万元，</w:t>
      </w:r>
      <w:r>
        <w:rPr>
          <w:rFonts w:hint="eastAsia" w:ascii="宋体" w:hAnsi="宋体" w:eastAsia="宋体" w:cs="宋体"/>
          <w:color w:val="auto"/>
          <w:kern w:val="0"/>
          <w:sz w:val="30"/>
          <w:szCs w:val="30"/>
          <w:highlight w:val="none"/>
          <w:lang w:eastAsia="zh-CN"/>
        </w:rPr>
        <w:t>减少</w:t>
      </w:r>
      <w:r>
        <w:rPr>
          <w:rFonts w:hint="eastAsia" w:ascii="宋体" w:hAnsi="宋体" w:eastAsia="宋体" w:cs="宋体"/>
          <w:color w:val="auto"/>
          <w:kern w:val="0"/>
          <w:sz w:val="30"/>
          <w:szCs w:val="30"/>
          <w:highlight w:val="none"/>
        </w:rPr>
        <w:t>比例为</w:t>
      </w:r>
      <w:r>
        <w:rPr>
          <w:rFonts w:hint="eastAsia" w:ascii="宋体" w:hAnsi="宋体" w:eastAsia="宋体" w:cs="宋体"/>
          <w:color w:val="auto"/>
          <w:kern w:val="0"/>
          <w:sz w:val="30"/>
          <w:szCs w:val="30"/>
          <w:highlight w:val="none"/>
          <w:lang w:val="en-US" w:eastAsia="zh-CN"/>
        </w:rPr>
        <w:t>0.31</w:t>
      </w:r>
      <w:r>
        <w:rPr>
          <w:rFonts w:hint="eastAsia" w:ascii="宋体" w:hAnsi="宋体" w:eastAsia="宋体" w:cs="宋体"/>
          <w:color w:val="auto"/>
          <w:kern w:val="0"/>
          <w:sz w:val="30"/>
          <w:szCs w:val="30"/>
          <w:highlight w:val="none"/>
        </w:rPr>
        <w:t>%。“三公经费”</w:t>
      </w:r>
      <w:r>
        <w:rPr>
          <w:rFonts w:hint="eastAsia" w:ascii="宋体" w:hAnsi="宋体" w:eastAsia="宋体" w:cs="宋体"/>
          <w:color w:val="auto"/>
          <w:kern w:val="0"/>
          <w:sz w:val="30"/>
          <w:szCs w:val="30"/>
          <w:highlight w:val="none"/>
          <w:lang w:eastAsia="zh-CN"/>
        </w:rPr>
        <w:t>减少</w:t>
      </w:r>
      <w:r>
        <w:rPr>
          <w:rFonts w:hint="eastAsia" w:ascii="宋体" w:hAnsi="宋体" w:eastAsia="宋体" w:cs="宋体"/>
          <w:color w:val="auto"/>
          <w:kern w:val="0"/>
          <w:sz w:val="30"/>
          <w:szCs w:val="30"/>
          <w:highlight w:val="none"/>
        </w:rPr>
        <w:t>的主要原因：</w:t>
      </w:r>
      <w:r>
        <w:rPr>
          <w:rFonts w:hint="eastAsia" w:ascii="宋体" w:hAnsi="宋体" w:eastAsia="宋体" w:cs="宋体"/>
          <w:color w:val="auto"/>
          <w:kern w:val="0"/>
          <w:sz w:val="30"/>
          <w:szCs w:val="30"/>
          <w:highlight w:val="none"/>
          <w:lang w:eastAsia="zh-CN"/>
        </w:rPr>
        <w:t>加强了公务接待管理</w:t>
      </w:r>
      <w:r>
        <w:rPr>
          <w:rFonts w:hint="eastAsia" w:ascii="宋体" w:hAnsi="宋体" w:eastAsia="宋体" w:cs="宋体"/>
          <w:bCs/>
          <w:color w:val="auto"/>
          <w:sz w:val="30"/>
          <w:szCs w:val="30"/>
          <w:highlight w:val="none"/>
        </w:rPr>
        <w:t>。</w:t>
      </w:r>
    </w:p>
    <w:p w14:paraId="7490D1C6">
      <w:pPr>
        <w:spacing w:line="360" w:lineRule="auto"/>
        <w:ind w:firstLine="602" w:firstLineChars="200"/>
        <w:rPr>
          <w:rFonts w:hint="eastAsia" w:ascii="宋体" w:hAnsi="宋体" w:eastAsia="宋体" w:cs="宋体"/>
          <w:b/>
          <w:bCs w:val="0"/>
          <w:color w:val="auto"/>
          <w:sz w:val="30"/>
          <w:szCs w:val="30"/>
          <w:highlight w:val="none"/>
        </w:rPr>
      </w:pPr>
      <w:r>
        <w:rPr>
          <w:rFonts w:hint="eastAsia" w:ascii="宋体" w:hAnsi="宋体" w:eastAsia="宋体" w:cs="宋体"/>
          <w:b/>
          <w:bCs w:val="0"/>
          <w:color w:val="auto"/>
          <w:sz w:val="30"/>
          <w:szCs w:val="30"/>
          <w:highlight w:val="none"/>
        </w:rPr>
        <w:t>1.2.3“三公经费”管理情况</w:t>
      </w:r>
    </w:p>
    <w:p w14:paraId="1E9402B1">
      <w:pPr>
        <w:spacing w:line="360" w:lineRule="auto"/>
        <w:ind w:firstLine="600" w:firstLineChars="200"/>
        <w:rPr>
          <w:rFonts w:hint="eastAsia" w:ascii="宋体" w:hAnsi="宋体" w:eastAsia="宋体" w:cs="宋体"/>
          <w:color w:val="auto"/>
          <w:kern w:val="0"/>
          <w:sz w:val="30"/>
          <w:szCs w:val="30"/>
          <w:highlight w:val="none"/>
        </w:rPr>
      </w:pPr>
      <w:r>
        <w:rPr>
          <w:rFonts w:hint="eastAsia" w:ascii="宋体" w:hAnsi="宋体" w:eastAsia="宋体" w:cs="宋体"/>
          <w:bCs/>
          <w:color w:val="auto"/>
          <w:sz w:val="30"/>
          <w:szCs w:val="30"/>
          <w:highlight w:val="none"/>
        </w:rPr>
        <w:t>本着勤俭、节约的原则，我局响应中共中央、国务院《党政机关厉行节约反对浪费条例》文件精神，严控</w:t>
      </w:r>
      <w:r>
        <w:rPr>
          <w:rFonts w:hint="eastAsia" w:ascii="宋体" w:hAnsi="宋体" w:eastAsia="宋体" w:cs="宋体"/>
          <w:color w:val="auto"/>
          <w:kern w:val="0"/>
          <w:sz w:val="30"/>
          <w:szCs w:val="30"/>
          <w:highlight w:val="none"/>
        </w:rPr>
        <w:t>出国（境）审批,近10年没有发生出国费用；局属股室及二级机构严格落实公函接待制度,坚持同城不接待、非必要不接待、杜绝超标准接待；执行公务用车维修分级审批制度；局机关使用公务用车严格执行《桃江县事业单位公务用车制度改革实施意见》（桃车改［2019]2号）、《桃江县加强和规范党政机关公务用车管理办法（试行）》（桃车改［2020]2号）</w:t>
      </w:r>
      <w:r>
        <w:rPr>
          <w:rFonts w:hint="eastAsia" w:ascii="宋体" w:hAnsi="宋体" w:eastAsia="宋体" w:cs="宋体"/>
          <w:color w:val="auto"/>
          <w:kern w:val="0"/>
          <w:sz w:val="30"/>
          <w:szCs w:val="30"/>
          <w:highlight w:val="none"/>
          <w:lang w:val="en-US" w:eastAsia="zh-CN"/>
        </w:rPr>
        <w:t>及本单位财务制度</w:t>
      </w:r>
      <w:r>
        <w:rPr>
          <w:rFonts w:hint="eastAsia" w:ascii="宋体" w:hAnsi="宋体" w:eastAsia="宋体" w:cs="宋体"/>
          <w:color w:val="auto"/>
          <w:kern w:val="0"/>
          <w:sz w:val="30"/>
          <w:szCs w:val="30"/>
          <w:highlight w:val="none"/>
        </w:rPr>
        <w:t>规定，总体“三公经费”在预算的基础上至少降低</w:t>
      </w:r>
      <w:r>
        <w:rPr>
          <w:rFonts w:hint="eastAsia" w:ascii="宋体" w:hAnsi="宋体" w:eastAsia="宋体" w:cs="宋体"/>
          <w:color w:val="auto"/>
          <w:kern w:val="0"/>
          <w:sz w:val="30"/>
          <w:szCs w:val="30"/>
          <w:highlight w:val="none"/>
          <w:lang w:val="en-US" w:eastAsia="zh-CN"/>
        </w:rPr>
        <w:t>7</w:t>
      </w:r>
      <w:r>
        <w:rPr>
          <w:rFonts w:hint="eastAsia" w:ascii="宋体" w:hAnsi="宋体" w:eastAsia="宋体" w:cs="宋体"/>
          <w:color w:val="auto"/>
          <w:kern w:val="0"/>
          <w:sz w:val="30"/>
          <w:szCs w:val="30"/>
          <w:highlight w:val="none"/>
        </w:rPr>
        <w:t>0%，此项措施使我局公务用车运行维护费和公务接待费支出得到控制，崇尚节约、厉行节约、反对浪费的机关文化在我局逐步形成。</w:t>
      </w:r>
    </w:p>
    <w:p w14:paraId="08DFF2CE">
      <w:pPr>
        <w:spacing w:line="360" w:lineRule="auto"/>
        <w:ind w:firstLine="602" w:firstLineChars="200"/>
        <w:rPr>
          <w:rFonts w:hint="eastAsia" w:ascii="宋体" w:hAnsi="宋体" w:eastAsia="宋体" w:cs="宋体"/>
          <w:b/>
          <w:bCs/>
          <w:color w:val="auto"/>
          <w:kern w:val="0"/>
          <w:sz w:val="30"/>
          <w:szCs w:val="30"/>
          <w:highlight w:val="none"/>
          <w:lang w:eastAsia="zh-CN"/>
        </w:rPr>
      </w:pPr>
      <w:r>
        <w:rPr>
          <w:rFonts w:hint="eastAsia" w:ascii="宋体" w:hAnsi="宋体" w:eastAsia="宋体" w:cs="宋体"/>
          <w:b/>
          <w:bCs/>
          <w:color w:val="auto"/>
          <w:kern w:val="0"/>
          <w:sz w:val="30"/>
          <w:szCs w:val="30"/>
          <w:highlight w:val="none"/>
        </w:rPr>
        <w:t>1.3、公用经费支出</w:t>
      </w:r>
      <w:r>
        <w:rPr>
          <w:rFonts w:hint="eastAsia" w:ascii="宋体" w:hAnsi="宋体" w:eastAsia="宋体" w:cs="宋体"/>
          <w:b/>
          <w:bCs/>
          <w:color w:val="auto"/>
          <w:kern w:val="0"/>
          <w:sz w:val="30"/>
          <w:szCs w:val="30"/>
          <w:highlight w:val="none"/>
          <w:lang w:eastAsia="zh-CN"/>
        </w:rPr>
        <w:t>情况</w:t>
      </w:r>
    </w:p>
    <w:p w14:paraId="0FFCFB57">
      <w:pPr>
        <w:spacing w:line="360" w:lineRule="auto"/>
        <w:ind w:firstLine="600" w:firstLineChars="200"/>
        <w:rPr>
          <w:rFonts w:hint="eastAsia" w:ascii="宋体" w:hAnsi="宋体" w:eastAsia="宋体" w:cs="宋体"/>
          <w:bCs/>
          <w:color w:val="auto"/>
          <w:sz w:val="30"/>
          <w:szCs w:val="30"/>
          <w:highlight w:val="none"/>
        </w:rPr>
      </w:pPr>
      <w:r>
        <w:rPr>
          <w:rFonts w:hint="eastAsia" w:ascii="宋体" w:hAnsi="宋体" w:eastAsia="宋体" w:cs="宋体"/>
          <w:color w:val="auto"/>
          <w:kern w:val="0"/>
          <w:sz w:val="30"/>
          <w:szCs w:val="30"/>
          <w:highlight w:val="none"/>
          <w:lang w:eastAsia="zh-CN"/>
        </w:rPr>
        <w:t>公用经费</w:t>
      </w:r>
      <w:r>
        <w:rPr>
          <w:rFonts w:hint="eastAsia" w:ascii="宋体" w:hAnsi="宋体" w:eastAsia="宋体" w:cs="宋体"/>
          <w:color w:val="auto"/>
          <w:kern w:val="0"/>
          <w:sz w:val="30"/>
          <w:szCs w:val="30"/>
          <w:highlight w:val="none"/>
        </w:rPr>
        <w:t>是指部门基本支出中的一般商品和服务支出，</w:t>
      </w:r>
      <w:r>
        <w:rPr>
          <w:rFonts w:hint="eastAsia" w:ascii="宋体" w:hAnsi="宋体" w:eastAsia="宋体" w:cs="宋体"/>
          <w:color w:val="auto"/>
          <w:kern w:val="0"/>
          <w:sz w:val="30"/>
          <w:szCs w:val="30"/>
          <w:highlight w:val="none"/>
          <w:lang w:eastAsia="zh-CN"/>
        </w:rPr>
        <w:t>2023年</w:t>
      </w:r>
      <w:r>
        <w:rPr>
          <w:rFonts w:hint="eastAsia" w:ascii="宋体" w:hAnsi="宋体" w:eastAsia="宋体" w:cs="宋体"/>
          <w:color w:val="auto"/>
          <w:kern w:val="0"/>
          <w:sz w:val="30"/>
          <w:szCs w:val="30"/>
          <w:highlight w:val="none"/>
        </w:rPr>
        <w:t>公用经费实际支出为264</w:t>
      </w:r>
      <w:r>
        <w:rPr>
          <w:rFonts w:hint="eastAsia" w:ascii="宋体" w:hAnsi="宋体" w:eastAsia="宋体" w:cs="宋体"/>
          <w:color w:val="auto"/>
          <w:kern w:val="0"/>
          <w:sz w:val="30"/>
          <w:szCs w:val="30"/>
          <w:highlight w:val="none"/>
          <w:lang w:val="en-US" w:eastAsia="zh-CN"/>
        </w:rPr>
        <w:t>.</w:t>
      </w:r>
      <w:r>
        <w:rPr>
          <w:rFonts w:hint="eastAsia" w:ascii="宋体" w:hAnsi="宋体" w:eastAsia="宋体" w:cs="宋体"/>
          <w:color w:val="auto"/>
          <w:kern w:val="0"/>
          <w:sz w:val="30"/>
          <w:szCs w:val="30"/>
          <w:highlight w:val="none"/>
        </w:rPr>
        <w:t>44万元，年初预算</w:t>
      </w:r>
      <w:r>
        <w:rPr>
          <w:rFonts w:hint="eastAsia" w:ascii="宋体" w:hAnsi="宋体" w:eastAsia="宋体" w:cs="宋体"/>
          <w:color w:val="auto"/>
          <w:kern w:val="0"/>
          <w:sz w:val="30"/>
          <w:szCs w:val="30"/>
          <w:highlight w:val="none"/>
          <w:lang w:val="en-US" w:eastAsia="zh-CN"/>
        </w:rPr>
        <w:t>138.25万元，</w:t>
      </w:r>
      <w:r>
        <w:rPr>
          <w:rFonts w:hint="eastAsia" w:ascii="宋体" w:hAnsi="宋体" w:eastAsia="宋体" w:cs="宋体"/>
          <w:color w:val="auto"/>
          <w:kern w:val="0"/>
          <w:sz w:val="30"/>
          <w:szCs w:val="30"/>
          <w:highlight w:val="none"/>
        </w:rPr>
        <w:t>追加预算</w:t>
      </w:r>
      <w:r>
        <w:rPr>
          <w:rFonts w:hint="eastAsia" w:ascii="宋体" w:hAnsi="宋体" w:eastAsia="宋体" w:cs="宋体"/>
          <w:color w:val="auto"/>
          <w:kern w:val="0"/>
          <w:sz w:val="30"/>
          <w:szCs w:val="30"/>
          <w:highlight w:val="none"/>
          <w:lang w:eastAsia="zh-CN"/>
        </w:rPr>
        <w:t>后</w:t>
      </w:r>
      <w:r>
        <w:rPr>
          <w:rFonts w:hint="eastAsia" w:ascii="宋体" w:hAnsi="宋体" w:eastAsia="宋体" w:cs="宋体"/>
          <w:color w:val="auto"/>
          <w:kern w:val="0"/>
          <w:sz w:val="30"/>
          <w:szCs w:val="30"/>
          <w:highlight w:val="none"/>
        </w:rPr>
        <w:t>安排公用经费总额为</w:t>
      </w:r>
      <w:r>
        <w:rPr>
          <w:rFonts w:hint="eastAsia" w:ascii="宋体" w:hAnsi="宋体" w:eastAsia="宋体" w:cs="宋体"/>
          <w:color w:val="auto"/>
          <w:kern w:val="0"/>
          <w:sz w:val="30"/>
          <w:szCs w:val="30"/>
          <w:highlight w:val="none"/>
          <w:lang w:val="en-US" w:eastAsia="zh-CN"/>
        </w:rPr>
        <w:t>264.44</w:t>
      </w:r>
      <w:r>
        <w:rPr>
          <w:rFonts w:hint="eastAsia" w:ascii="宋体" w:hAnsi="宋体" w:eastAsia="宋体" w:cs="宋体"/>
          <w:bCs/>
          <w:color w:val="auto"/>
          <w:sz w:val="30"/>
          <w:szCs w:val="30"/>
          <w:highlight w:val="none"/>
        </w:rPr>
        <w:t>万元，公用经费控制率为</w:t>
      </w:r>
      <w:r>
        <w:rPr>
          <w:rFonts w:hint="eastAsia" w:ascii="宋体" w:hAnsi="宋体" w:eastAsia="宋体" w:cs="宋体"/>
          <w:bCs/>
          <w:color w:val="auto"/>
          <w:sz w:val="30"/>
          <w:szCs w:val="30"/>
          <w:highlight w:val="none"/>
          <w:lang w:val="en-US" w:eastAsia="zh-CN"/>
        </w:rPr>
        <w:t>100</w:t>
      </w:r>
      <w:r>
        <w:rPr>
          <w:rFonts w:hint="eastAsia" w:ascii="宋体" w:hAnsi="宋体" w:eastAsia="宋体" w:cs="宋体"/>
          <w:bCs/>
          <w:color w:val="auto"/>
          <w:sz w:val="30"/>
          <w:szCs w:val="30"/>
          <w:highlight w:val="none"/>
        </w:rPr>
        <w:t>%。</w:t>
      </w:r>
    </w:p>
    <w:p w14:paraId="67185D3A">
      <w:pPr>
        <w:spacing w:line="360" w:lineRule="auto"/>
        <w:ind w:firstLine="602" w:firstLineChars="200"/>
        <w:rPr>
          <w:rFonts w:hint="eastAsia" w:ascii="宋体" w:hAnsi="宋体" w:eastAsia="宋体" w:cs="宋体"/>
          <w:b/>
          <w:bCs w:val="0"/>
          <w:color w:val="auto"/>
          <w:sz w:val="30"/>
          <w:szCs w:val="30"/>
          <w:highlight w:val="none"/>
        </w:rPr>
      </w:pPr>
      <w:r>
        <w:rPr>
          <w:rFonts w:hint="eastAsia" w:ascii="宋体" w:hAnsi="宋体" w:eastAsia="宋体" w:cs="宋体"/>
          <w:b/>
          <w:bCs w:val="0"/>
          <w:color w:val="auto"/>
          <w:sz w:val="30"/>
          <w:szCs w:val="30"/>
          <w:highlight w:val="none"/>
        </w:rPr>
        <w:t>1.4、预算资金管理情况分析</w:t>
      </w:r>
    </w:p>
    <w:p w14:paraId="5797B424">
      <w:pPr>
        <w:spacing w:line="360" w:lineRule="auto"/>
        <w:ind w:firstLine="600" w:firstLineChars="200"/>
        <w:rPr>
          <w:rFonts w:hint="eastAsia" w:ascii="宋体" w:hAnsi="宋体" w:eastAsia="宋体" w:cs="宋体"/>
          <w:color w:val="auto"/>
          <w:kern w:val="0"/>
          <w:sz w:val="30"/>
          <w:szCs w:val="30"/>
        </w:rPr>
      </w:pPr>
      <w:r>
        <w:rPr>
          <w:rFonts w:hint="eastAsia" w:ascii="宋体" w:hAnsi="宋体" w:eastAsia="宋体" w:cs="宋体"/>
          <w:bCs/>
          <w:color w:val="auto"/>
          <w:sz w:val="30"/>
          <w:szCs w:val="30"/>
          <w:highlight w:val="none"/>
        </w:rPr>
        <w:t>我局按照通用财务制度和管理制度、办法进行了业务、资金管理，并制定一些专门办法和细则，纳入财政统一核算管理，有单独的记账凭证、账本、会计报表，财务上由财务股负责管理，业务上由各股室和二级机构执行，在在职人员控制、三公经费、公用经费、重点支出、重点工作、预算完成、预算调整、支付进度、政府采购、资产管理、信息公开、制度管理、资金管理等方面执行情况好，预算资金管理到位，取得了好的工作效果和社会公众满意度。</w:t>
      </w:r>
    </w:p>
    <w:p w14:paraId="08F0748B">
      <w:pPr>
        <w:spacing w:line="360" w:lineRule="auto"/>
        <w:ind w:firstLine="602" w:firstLineChars="200"/>
        <w:rPr>
          <w:rFonts w:hint="eastAsia" w:ascii="宋体" w:hAnsi="宋体" w:eastAsia="宋体" w:cs="宋体"/>
          <w:b/>
          <w:bCs/>
          <w:color w:val="000000" w:themeColor="text1"/>
          <w:kern w:val="0"/>
          <w:sz w:val="30"/>
          <w:szCs w:val="30"/>
        </w:rPr>
      </w:pPr>
      <w:r>
        <w:rPr>
          <w:rFonts w:hint="eastAsia" w:ascii="宋体" w:hAnsi="宋体" w:eastAsia="宋体" w:cs="宋体"/>
          <w:b/>
          <w:bCs/>
          <w:color w:val="000000" w:themeColor="text1"/>
          <w:kern w:val="0"/>
          <w:sz w:val="30"/>
          <w:szCs w:val="30"/>
        </w:rPr>
        <w:t>（二）项目支出</w:t>
      </w:r>
      <w:r>
        <w:rPr>
          <w:rFonts w:hint="eastAsia" w:ascii="宋体" w:hAnsi="宋体" w:eastAsia="宋体" w:cs="宋体"/>
          <w:b/>
          <w:bCs/>
          <w:color w:val="000000" w:themeColor="text1"/>
          <w:kern w:val="0"/>
          <w:sz w:val="30"/>
          <w:szCs w:val="30"/>
        </w:rPr>
        <w:tab/>
      </w:r>
    </w:p>
    <w:p w14:paraId="2E89DDAB">
      <w:pPr>
        <w:spacing w:line="360" w:lineRule="auto"/>
        <w:ind w:firstLine="602" w:firstLineChars="200"/>
        <w:rPr>
          <w:rFonts w:hint="eastAsia" w:ascii="宋体" w:hAnsi="宋体" w:eastAsia="宋体" w:cs="宋体"/>
          <w:b/>
          <w:bCs/>
          <w:color w:val="auto"/>
          <w:sz w:val="30"/>
          <w:szCs w:val="30"/>
          <w:highlight w:val="none"/>
        </w:rPr>
      </w:pPr>
      <w:r>
        <w:rPr>
          <w:rFonts w:hint="eastAsia" w:ascii="宋体" w:hAnsi="宋体" w:eastAsia="宋体" w:cs="宋体"/>
          <w:b/>
          <w:bCs/>
          <w:color w:val="000000" w:themeColor="text1"/>
          <w:sz w:val="30"/>
          <w:szCs w:val="30"/>
          <w:highlight w:val="none"/>
        </w:rPr>
        <w:t xml:space="preserve"> 2.1、项目资金</w:t>
      </w:r>
      <w:r>
        <w:rPr>
          <w:rFonts w:hint="eastAsia" w:ascii="宋体" w:hAnsi="宋体" w:eastAsia="宋体" w:cs="宋体"/>
          <w:b/>
          <w:bCs/>
          <w:color w:val="auto"/>
          <w:sz w:val="30"/>
          <w:szCs w:val="30"/>
          <w:highlight w:val="none"/>
        </w:rPr>
        <w:t>（包括财政资金、自筹资金等）安排落实，总投入等情况分析</w:t>
      </w:r>
    </w:p>
    <w:p w14:paraId="78050BD4">
      <w:pPr>
        <w:spacing w:line="360" w:lineRule="auto"/>
        <w:ind w:firstLine="600" w:firstLineChars="200"/>
        <w:rPr>
          <w:rFonts w:hint="eastAsia" w:ascii="宋体" w:hAnsi="宋体" w:eastAsia="宋体" w:cs="宋体"/>
          <w:bCs/>
          <w:color w:val="auto"/>
          <w:sz w:val="30"/>
          <w:szCs w:val="30"/>
          <w:highlight w:val="none"/>
        </w:rPr>
      </w:pPr>
      <w:r>
        <w:rPr>
          <w:rFonts w:hint="eastAsia" w:ascii="宋体" w:hAnsi="宋体" w:eastAsia="宋体" w:cs="宋体"/>
          <w:bCs/>
          <w:color w:val="auto"/>
          <w:sz w:val="30"/>
          <w:szCs w:val="30"/>
          <w:highlight w:val="none"/>
        </w:rPr>
        <w:t>项目支出是在基本支出之外为完成其特定的行政工作任务而发生的支出。我局</w:t>
      </w:r>
      <w:r>
        <w:rPr>
          <w:rFonts w:hint="eastAsia" w:ascii="宋体" w:hAnsi="宋体" w:eastAsia="宋体" w:cs="宋体"/>
          <w:bCs/>
          <w:color w:val="auto"/>
          <w:sz w:val="30"/>
          <w:szCs w:val="30"/>
          <w:highlight w:val="none"/>
          <w:lang w:eastAsia="zh-CN"/>
        </w:rPr>
        <w:t>2023年</w:t>
      </w:r>
      <w:r>
        <w:rPr>
          <w:rFonts w:hint="eastAsia" w:ascii="宋体" w:hAnsi="宋体" w:eastAsia="宋体" w:cs="宋体"/>
          <w:bCs/>
          <w:color w:val="auto"/>
          <w:sz w:val="30"/>
          <w:szCs w:val="30"/>
          <w:highlight w:val="none"/>
        </w:rPr>
        <w:t>项目支出预算资金为 307,458,050.15元，全部为财政资金，已分配到各项目，已由桃江县财政局安排落实及时拨付到位，该项目无自筹资金计划及相关资料，项目资金预计总投入为</w:t>
      </w:r>
      <w:r>
        <w:rPr>
          <w:rFonts w:hint="eastAsia" w:ascii="宋体" w:hAnsi="宋体" w:eastAsia="宋体" w:cs="宋体"/>
          <w:bCs/>
          <w:color w:val="auto"/>
          <w:sz w:val="30"/>
          <w:szCs w:val="30"/>
          <w:highlight w:val="none"/>
          <w:lang w:val="en-US" w:eastAsia="zh-CN"/>
        </w:rPr>
        <w:t xml:space="preserve"> 307,458,050.15</w:t>
      </w:r>
      <w:r>
        <w:rPr>
          <w:rFonts w:hint="eastAsia" w:ascii="宋体" w:hAnsi="宋体" w:eastAsia="宋体" w:cs="宋体"/>
          <w:bCs/>
          <w:color w:val="auto"/>
          <w:sz w:val="30"/>
          <w:szCs w:val="30"/>
          <w:highlight w:val="none"/>
        </w:rPr>
        <w:t>元。</w:t>
      </w:r>
    </w:p>
    <w:p w14:paraId="62C5C7AB">
      <w:pPr>
        <w:widowControl/>
        <w:spacing w:line="360" w:lineRule="auto"/>
        <w:rPr>
          <w:rFonts w:hint="eastAsia" w:ascii="宋体" w:hAnsi="宋体" w:eastAsia="宋体" w:cs="宋体"/>
          <w:b/>
          <w:bCs w:val="0"/>
          <w:color w:val="auto"/>
          <w:sz w:val="30"/>
          <w:szCs w:val="30"/>
          <w:highlight w:val="none"/>
        </w:rPr>
      </w:pPr>
      <w:r>
        <w:rPr>
          <w:rFonts w:hint="eastAsia" w:ascii="宋体" w:hAnsi="宋体" w:eastAsia="宋体" w:cs="宋体"/>
          <w:bCs/>
          <w:color w:val="auto"/>
          <w:sz w:val="30"/>
          <w:szCs w:val="30"/>
          <w:highlight w:val="none"/>
        </w:rPr>
        <w:t xml:space="preserve">  </w:t>
      </w:r>
      <w:r>
        <w:rPr>
          <w:rFonts w:hint="eastAsia" w:ascii="宋体" w:hAnsi="宋体" w:eastAsia="宋体" w:cs="宋体"/>
          <w:b/>
          <w:bCs w:val="0"/>
          <w:color w:val="auto"/>
          <w:sz w:val="30"/>
          <w:szCs w:val="30"/>
          <w:highlight w:val="none"/>
        </w:rPr>
        <w:t xml:space="preserve">  2.2、项目资金（主要指财政资金）实际使用情况分析</w:t>
      </w:r>
    </w:p>
    <w:p w14:paraId="7AD2C5C5">
      <w:pPr>
        <w:spacing w:line="360" w:lineRule="auto"/>
        <w:rPr>
          <w:rFonts w:hint="eastAsia" w:ascii="宋体" w:hAnsi="宋体" w:eastAsia="宋体" w:cs="宋体"/>
          <w:bCs/>
          <w:color w:val="000000" w:themeColor="text1"/>
          <w:sz w:val="30"/>
          <w:szCs w:val="30"/>
          <w:highlight w:val="none"/>
        </w:rPr>
      </w:pPr>
      <w:r>
        <w:rPr>
          <w:rFonts w:hint="eastAsia" w:ascii="宋体" w:hAnsi="宋体" w:eastAsia="宋体" w:cs="宋体"/>
          <w:bCs/>
          <w:color w:val="FF0000"/>
          <w:sz w:val="30"/>
          <w:szCs w:val="30"/>
          <w:highlight w:val="none"/>
        </w:rPr>
        <w:t xml:space="preserve"> </w:t>
      </w:r>
      <w:r>
        <w:rPr>
          <w:rFonts w:hint="eastAsia" w:ascii="宋体" w:hAnsi="宋体" w:eastAsia="宋体" w:cs="宋体"/>
          <w:bCs/>
          <w:color w:val="auto"/>
          <w:sz w:val="30"/>
          <w:szCs w:val="30"/>
          <w:highlight w:val="none"/>
        </w:rPr>
        <w:t xml:space="preserve">   我局</w:t>
      </w:r>
      <w:r>
        <w:rPr>
          <w:rFonts w:hint="eastAsia" w:ascii="宋体" w:hAnsi="宋体" w:eastAsia="宋体" w:cs="宋体"/>
          <w:bCs/>
          <w:color w:val="auto"/>
          <w:sz w:val="30"/>
          <w:szCs w:val="30"/>
          <w:highlight w:val="none"/>
          <w:lang w:eastAsia="zh-CN"/>
        </w:rPr>
        <w:t>2023年</w:t>
      </w:r>
      <w:r>
        <w:rPr>
          <w:rFonts w:hint="eastAsia" w:ascii="宋体" w:hAnsi="宋体" w:eastAsia="宋体" w:cs="宋体"/>
          <w:bCs/>
          <w:color w:val="auto"/>
          <w:sz w:val="30"/>
          <w:szCs w:val="30"/>
          <w:highlight w:val="none"/>
        </w:rPr>
        <w:t>度项目资金至</w:t>
      </w:r>
      <w:r>
        <w:rPr>
          <w:rFonts w:hint="eastAsia" w:ascii="宋体" w:hAnsi="宋体" w:eastAsia="宋体" w:cs="宋体"/>
          <w:bCs/>
          <w:color w:val="auto"/>
          <w:sz w:val="30"/>
          <w:szCs w:val="30"/>
          <w:highlight w:val="none"/>
          <w:lang w:eastAsia="zh-CN"/>
        </w:rPr>
        <w:t>2023年</w:t>
      </w:r>
      <w:r>
        <w:rPr>
          <w:rFonts w:hint="eastAsia" w:ascii="宋体" w:hAnsi="宋体" w:eastAsia="宋体" w:cs="宋体"/>
          <w:bCs/>
          <w:color w:val="auto"/>
          <w:sz w:val="30"/>
          <w:szCs w:val="30"/>
          <w:highlight w:val="none"/>
        </w:rPr>
        <w:t>12月31日止，项目</w:t>
      </w:r>
      <w:r>
        <w:rPr>
          <w:rFonts w:hint="eastAsia" w:ascii="宋体" w:hAnsi="宋体" w:eastAsia="宋体" w:cs="宋体"/>
          <w:bCs/>
          <w:color w:val="auto"/>
          <w:sz w:val="30"/>
          <w:szCs w:val="30"/>
          <w:highlight w:val="none"/>
          <w:lang w:eastAsia="zh-CN"/>
        </w:rPr>
        <w:t>资金实际可以指标为</w:t>
      </w:r>
      <w:r>
        <w:rPr>
          <w:rFonts w:hint="eastAsia" w:ascii="宋体" w:hAnsi="宋体" w:eastAsia="宋体" w:cs="宋体"/>
          <w:bCs/>
          <w:color w:val="auto"/>
          <w:sz w:val="30"/>
          <w:szCs w:val="30"/>
          <w:highlight w:val="none"/>
          <w:lang w:val="en-US" w:eastAsia="zh-CN"/>
        </w:rPr>
        <w:t>30857.90万元，</w:t>
      </w:r>
      <w:r>
        <w:rPr>
          <w:rFonts w:hint="eastAsia" w:ascii="宋体" w:hAnsi="宋体" w:eastAsia="宋体" w:cs="宋体"/>
          <w:bCs/>
          <w:color w:val="auto"/>
          <w:sz w:val="30"/>
          <w:szCs w:val="30"/>
          <w:highlight w:val="none"/>
        </w:rPr>
        <w:t>实际支出为</w:t>
      </w:r>
      <w:r>
        <w:rPr>
          <w:rFonts w:hint="eastAsia" w:ascii="宋体" w:hAnsi="宋体" w:eastAsia="宋体" w:cs="宋体"/>
          <w:bCs/>
          <w:color w:val="auto"/>
          <w:sz w:val="30"/>
          <w:szCs w:val="30"/>
          <w:highlight w:val="none"/>
          <w:lang w:val="en-US" w:eastAsia="zh-CN"/>
        </w:rPr>
        <w:t>30857.90</w:t>
      </w:r>
      <w:r>
        <w:rPr>
          <w:rFonts w:hint="eastAsia" w:ascii="宋体" w:hAnsi="宋体" w:eastAsia="宋体" w:cs="宋体"/>
          <w:bCs/>
          <w:color w:val="auto"/>
          <w:sz w:val="30"/>
          <w:szCs w:val="30"/>
          <w:highlight w:val="none"/>
        </w:rPr>
        <w:t>万元，具体情况如下表：</w:t>
      </w:r>
      <w:r>
        <w:rPr>
          <w:rFonts w:hint="eastAsia" w:ascii="宋体" w:hAnsi="宋体" w:eastAsia="宋体" w:cs="宋体"/>
          <w:bCs/>
          <w:color w:val="000000" w:themeColor="text1"/>
          <w:sz w:val="30"/>
          <w:szCs w:val="30"/>
          <w:highlight w:val="none"/>
        </w:rPr>
        <w:t>（单位:元）</w:t>
      </w:r>
    </w:p>
    <w:tbl>
      <w:tblPr>
        <w:tblStyle w:val="8"/>
        <w:tblW w:w="9776" w:type="dxa"/>
        <w:tblInd w:w="0" w:type="dxa"/>
        <w:tblLayout w:type="fixed"/>
        <w:tblCellMar>
          <w:top w:w="0" w:type="dxa"/>
          <w:left w:w="0" w:type="dxa"/>
          <w:bottom w:w="0" w:type="dxa"/>
          <w:right w:w="0" w:type="dxa"/>
        </w:tblCellMar>
      </w:tblPr>
      <w:tblGrid>
        <w:gridCol w:w="551"/>
        <w:gridCol w:w="3685"/>
        <w:gridCol w:w="1618"/>
        <w:gridCol w:w="1607"/>
        <w:gridCol w:w="1170"/>
        <w:gridCol w:w="1145"/>
      </w:tblGrid>
      <w:tr w14:paraId="7867C2D1">
        <w:tblPrEx>
          <w:tblCellMar>
            <w:top w:w="0" w:type="dxa"/>
            <w:left w:w="0" w:type="dxa"/>
            <w:bottom w:w="0" w:type="dxa"/>
            <w:right w:w="0" w:type="dxa"/>
          </w:tblCellMar>
        </w:tblPrEx>
        <w:trPr>
          <w:trHeight w:val="90" w:hRule="atLeast"/>
        </w:trPr>
        <w:tc>
          <w:tcPr>
            <w:tcW w:w="55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BE9CB4">
            <w:pPr>
              <w:widowControl/>
              <w:jc w:val="center"/>
              <w:textAlignment w:val="center"/>
              <w:rPr>
                <w:rFonts w:ascii="宋体" w:hAnsi="宋体" w:cs="宋体"/>
                <w:color w:val="000000" w:themeColor="text1"/>
                <w:sz w:val="24"/>
                <w:szCs w:val="24"/>
                <w:highlight w:val="none"/>
              </w:rPr>
            </w:pPr>
            <w:r>
              <w:rPr>
                <w:rFonts w:hint="eastAsia" w:ascii="宋体" w:hAnsi="宋体" w:cs="宋体"/>
                <w:color w:val="000000" w:themeColor="text1"/>
                <w:kern w:val="0"/>
                <w:sz w:val="24"/>
                <w:szCs w:val="24"/>
                <w:highlight w:val="none"/>
              </w:rPr>
              <w:t>序号</w:t>
            </w:r>
          </w:p>
        </w:tc>
        <w:tc>
          <w:tcPr>
            <w:tcW w:w="368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E686F4">
            <w:pPr>
              <w:widowControl/>
              <w:jc w:val="center"/>
              <w:textAlignment w:val="center"/>
              <w:rPr>
                <w:rFonts w:ascii="宋体" w:hAnsi="宋体" w:cs="宋体"/>
                <w:color w:val="000000" w:themeColor="text1"/>
                <w:sz w:val="24"/>
                <w:szCs w:val="24"/>
                <w:highlight w:val="none"/>
              </w:rPr>
            </w:pPr>
            <w:r>
              <w:rPr>
                <w:rFonts w:hint="eastAsia" w:ascii="宋体" w:hAnsi="宋体" w:cs="宋体"/>
                <w:color w:val="000000" w:themeColor="text1"/>
                <w:kern w:val="0"/>
                <w:sz w:val="24"/>
                <w:szCs w:val="24"/>
                <w:highlight w:val="none"/>
              </w:rPr>
              <w:t>预算项目</w:t>
            </w:r>
          </w:p>
        </w:tc>
        <w:tc>
          <w:tcPr>
            <w:tcW w:w="161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DEBCBB">
            <w:pPr>
              <w:widowControl/>
              <w:jc w:val="center"/>
              <w:textAlignment w:val="center"/>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可用</w:t>
            </w:r>
          </w:p>
          <w:p w14:paraId="1776AAF9">
            <w:pPr>
              <w:widowControl/>
              <w:jc w:val="center"/>
              <w:textAlignment w:val="center"/>
              <w:rPr>
                <w:rFonts w:ascii="宋体" w:hAnsi="宋体" w:cs="宋体"/>
                <w:color w:val="000000" w:themeColor="text1"/>
                <w:sz w:val="24"/>
                <w:szCs w:val="24"/>
                <w:highlight w:val="none"/>
              </w:rPr>
            </w:pPr>
            <w:r>
              <w:rPr>
                <w:rFonts w:hint="eastAsia" w:ascii="宋体" w:hAnsi="宋体" w:cs="宋体"/>
                <w:color w:val="000000" w:themeColor="text1"/>
                <w:kern w:val="0"/>
                <w:sz w:val="24"/>
                <w:szCs w:val="24"/>
                <w:highlight w:val="none"/>
              </w:rPr>
              <w:t>指标（元）</w:t>
            </w:r>
          </w:p>
        </w:tc>
        <w:tc>
          <w:tcPr>
            <w:tcW w:w="160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0C5D08">
            <w:pPr>
              <w:widowControl/>
              <w:jc w:val="center"/>
              <w:textAlignment w:val="center"/>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实际</w:t>
            </w:r>
          </w:p>
          <w:p w14:paraId="3414B7C7">
            <w:pPr>
              <w:widowControl/>
              <w:jc w:val="center"/>
              <w:textAlignment w:val="center"/>
              <w:rPr>
                <w:rFonts w:ascii="宋体" w:hAnsi="宋体" w:cs="宋体"/>
                <w:color w:val="000000" w:themeColor="text1"/>
                <w:sz w:val="24"/>
                <w:szCs w:val="24"/>
                <w:highlight w:val="none"/>
              </w:rPr>
            </w:pPr>
            <w:r>
              <w:rPr>
                <w:rFonts w:hint="eastAsia" w:ascii="宋体" w:hAnsi="宋体" w:cs="宋体"/>
                <w:color w:val="000000" w:themeColor="text1"/>
                <w:kern w:val="0"/>
                <w:sz w:val="24"/>
                <w:szCs w:val="24"/>
                <w:highlight w:val="none"/>
              </w:rPr>
              <w:t>使用（元）</w:t>
            </w:r>
          </w:p>
        </w:tc>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7FE57C">
            <w:pPr>
              <w:widowControl/>
              <w:jc w:val="center"/>
              <w:textAlignment w:val="center"/>
              <w:rPr>
                <w:rFonts w:ascii="宋体" w:hAnsi="宋体" w:cs="宋体"/>
                <w:color w:val="000000" w:themeColor="text1"/>
                <w:sz w:val="24"/>
                <w:szCs w:val="24"/>
                <w:highlight w:val="none"/>
              </w:rPr>
            </w:pPr>
            <w:r>
              <w:rPr>
                <w:rFonts w:hint="eastAsia" w:ascii="宋体" w:hAnsi="宋体" w:cs="宋体"/>
                <w:color w:val="000000" w:themeColor="text1"/>
                <w:kern w:val="0"/>
                <w:sz w:val="24"/>
                <w:szCs w:val="24"/>
                <w:highlight w:val="none"/>
              </w:rPr>
              <w:t>差额</w:t>
            </w:r>
          </w:p>
        </w:tc>
        <w:tc>
          <w:tcPr>
            <w:tcW w:w="11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3479AC">
            <w:pPr>
              <w:widowControl/>
              <w:jc w:val="center"/>
              <w:textAlignment w:val="center"/>
              <w:rPr>
                <w:rFonts w:ascii="宋体" w:hAnsi="宋体" w:cs="宋体"/>
                <w:color w:val="000000" w:themeColor="text1"/>
                <w:sz w:val="24"/>
                <w:szCs w:val="24"/>
                <w:highlight w:val="none"/>
              </w:rPr>
            </w:pPr>
            <w:r>
              <w:rPr>
                <w:rFonts w:hint="eastAsia" w:ascii="宋体" w:hAnsi="宋体" w:cs="宋体"/>
                <w:color w:val="000000" w:themeColor="text1"/>
                <w:kern w:val="0"/>
                <w:sz w:val="24"/>
                <w:szCs w:val="24"/>
                <w:highlight w:val="none"/>
              </w:rPr>
              <w:t>使用比例</w:t>
            </w:r>
          </w:p>
        </w:tc>
      </w:tr>
      <w:tr w14:paraId="5775AB8E">
        <w:tblPrEx>
          <w:tblCellMar>
            <w:top w:w="0" w:type="dxa"/>
            <w:left w:w="0" w:type="dxa"/>
            <w:bottom w:w="0" w:type="dxa"/>
            <w:right w:w="0" w:type="dxa"/>
          </w:tblCellMar>
        </w:tblPrEx>
        <w:trPr>
          <w:trHeight w:val="600" w:hRule="atLeast"/>
        </w:trPr>
        <w:tc>
          <w:tcPr>
            <w:tcW w:w="5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10F25B">
            <w:pPr>
              <w:jc w:val="center"/>
              <w:rPr>
                <w:rFonts w:ascii="宋体" w:hAnsi="宋体" w:cs="宋体"/>
                <w:color w:val="000000" w:themeColor="text1"/>
                <w:sz w:val="24"/>
                <w:szCs w:val="24"/>
                <w:highlight w:val="none"/>
              </w:rPr>
            </w:pPr>
          </w:p>
        </w:tc>
        <w:tc>
          <w:tcPr>
            <w:tcW w:w="368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03E991">
            <w:pPr>
              <w:jc w:val="center"/>
              <w:rPr>
                <w:rFonts w:ascii="宋体" w:hAnsi="宋体" w:cs="宋体"/>
                <w:color w:val="000000" w:themeColor="text1"/>
                <w:sz w:val="24"/>
                <w:szCs w:val="24"/>
                <w:highlight w:val="none"/>
              </w:rPr>
            </w:pPr>
          </w:p>
        </w:tc>
        <w:tc>
          <w:tcPr>
            <w:tcW w:w="161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9D25C2">
            <w:pPr>
              <w:jc w:val="center"/>
              <w:rPr>
                <w:rFonts w:ascii="宋体" w:hAnsi="宋体" w:cs="宋体"/>
                <w:color w:val="000000" w:themeColor="text1"/>
                <w:sz w:val="24"/>
                <w:szCs w:val="24"/>
                <w:highlight w:val="none"/>
              </w:rPr>
            </w:pPr>
          </w:p>
        </w:tc>
        <w:tc>
          <w:tcPr>
            <w:tcW w:w="160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2B7B2B">
            <w:pPr>
              <w:jc w:val="center"/>
              <w:rPr>
                <w:rFonts w:ascii="宋体" w:hAnsi="宋体" w:cs="宋体"/>
                <w:color w:val="000000" w:themeColor="text1"/>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169E8E">
            <w:pPr>
              <w:widowControl/>
              <w:jc w:val="center"/>
              <w:textAlignment w:val="center"/>
              <w:rPr>
                <w:rFonts w:ascii="宋体" w:hAnsi="宋体" w:cs="宋体"/>
                <w:color w:val="000000" w:themeColor="text1"/>
                <w:sz w:val="24"/>
                <w:szCs w:val="24"/>
                <w:highlight w:val="none"/>
              </w:rPr>
            </w:pPr>
            <w:r>
              <w:rPr>
                <w:rFonts w:hint="eastAsia" w:ascii="宋体" w:hAnsi="宋体" w:cs="宋体"/>
                <w:color w:val="000000" w:themeColor="text1"/>
                <w:kern w:val="0"/>
                <w:sz w:val="24"/>
                <w:szCs w:val="24"/>
                <w:highlight w:val="none"/>
              </w:rPr>
              <w:t>（可用-实际）</w:t>
            </w:r>
          </w:p>
        </w:tc>
        <w:tc>
          <w:tcPr>
            <w:tcW w:w="11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85A5D2">
            <w:pPr>
              <w:widowControl/>
              <w:jc w:val="center"/>
              <w:textAlignment w:val="center"/>
              <w:rPr>
                <w:rFonts w:ascii="宋体" w:hAnsi="宋体" w:cs="宋体"/>
                <w:color w:val="000000" w:themeColor="text1"/>
                <w:sz w:val="24"/>
                <w:szCs w:val="24"/>
                <w:highlight w:val="none"/>
              </w:rPr>
            </w:pPr>
            <w:r>
              <w:rPr>
                <w:rFonts w:hint="eastAsia" w:ascii="宋体" w:hAnsi="宋体" w:cs="宋体"/>
                <w:color w:val="000000" w:themeColor="text1"/>
                <w:kern w:val="0"/>
                <w:sz w:val="24"/>
                <w:szCs w:val="24"/>
                <w:highlight w:val="none"/>
              </w:rPr>
              <w:t>（实际/预算）%</w:t>
            </w:r>
          </w:p>
        </w:tc>
      </w:tr>
      <w:tr w14:paraId="2AB1E67C">
        <w:tblPrEx>
          <w:tblCellMar>
            <w:top w:w="0" w:type="dxa"/>
            <w:left w:w="0" w:type="dxa"/>
            <w:bottom w:w="0" w:type="dxa"/>
            <w:right w:w="0" w:type="dxa"/>
          </w:tblCellMar>
        </w:tblPrEx>
        <w:trPr>
          <w:trHeight w:val="495" w:hRule="atLeast"/>
        </w:trPr>
        <w:tc>
          <w:tcPr>
            <w:tcW w:w="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F9F81C">
            <w:pPr>
              <w:keepNext w:val="0"/>
              <w:keepLines w:val="0"/>
              <w:widowControl/>
              <w:suppressLineNumbers w:val="0"/>
              <w:jc w:val="center"/>
              <w:textAlignment w:val="center"/>
              <w:rPr>
                <w:rFonts w:ascii="宋体" w:hAnsi="宋体" w:cs="宋体"/>
                <w:color w:val="FF0000"/>
                <w:szCs w:val="21"/>
                <w:highlight w:val="none"/>
              </w:rPr>
            </w:pPr>
            <w:r>
              <w:rPr>
                <w:rFonts w:hint="eastAsia" w:ascii="宋体" w:hAnsi="宋体" w:eastAsia="宋体" w:cs="宋体"/>
                <w:i w:val="0"/>
                <w:iCs w:val="0"/>
                <w:color w:val="000000"/>
                <w:kern w:val="0"/>
                <w:sz w:val="24"/>
                <w:szCs w:val="24"/>
                <w:u w:val="none"/>
                <w:lang w:val="en-US" w:eastAsia="zh-CN" w:bidi="ar"/>
              </w:rPr>
              <w:t>1</w:t>
            </w:r>
          </w:p>
        </w:tc>
        <w:tc>
          <w:tcPr>
            <w:tcW w:w="36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C7A8A2">
            <w:pPr>
              <w:keepNext w:val="0"/>
              <w:keepLines w:val="0"/>
              <w:widowControl/>
              <w:suppressLineNumbers w:val="0"/>
              <w:jc w:val="left"/>
              <w:textAlignment w:val="center"/>
              <w:rPr>
                <w:rFonts w:ascii="宋体" w:hAnsi="宋体" w:cs="宋体"/>
                <w:color w:val="FF0000"/>
                <w:szCs w:val="21"/>
                <w:highlight w:val="none"/>
              </w:rPr>
            </w:pPr>
            <w:r>
              <w:rPr>
                <w:rFonts w:hint="eastAsia" w:ascii="宋体" w:hAnsi="宋体" w:eastAsia="宋体" w:cs="宋体"/>
                <w:i w:val="0"/>
                <w:iCs w:val="0"/>
                <w:color w:val="000000"/>
                <w:kern w:val="0"/>
                <w:sz w:val="22"/>
                <w:szCs w:val="22"/>
                <w:u w:val="none"/>
                <w:lang w:val="en-US" w:eastAsia="zh-CN" w:bidi="ar"/>
              </w:rPr>
              <w:t>派驻县住建局纪检监察组办案经费</w:t>
            </w:r>
          </w:p>
        </w:tc>
        <w:tc>
          <w:tcPr>
            <w:tcW w:w="16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9A441E">
            <w:pPr>
              <w:keepNext w:val="0"/>
              <w:keepLines w:val="0"/>
              <w:widowControl/>
              <w:suppressLineNumbers w:val="0"/>
              <w:jc w:val="right"/>
              <w:textAlignment w:val="center"/>
              <w:rPr>
                <w:rFonts w:ascii="宋体" w:hAnsi="宋体" w:cs="宋体"/>
                <w:color w:val="FF0000"/>
                <w:szCs w:val="21"/>
                <w:highlight w:val="none"/>
              </w:rPr>
            </w:pPr>
            <w:r>
              <w:rPr>
                <w:rFonts w:hint="eastAsia" w:ascii="宋体" w:hAnsi="宋体" w:eastAsia="宋体" w:cs="宋体"/>
                <w:i w:val="0"/>
                <w:iCs w:val="0"/>
                <w:color w:val="000000"/>
                <w:kern w:val="0"/>
                <w:sz w:val="22"/>
                <w:szCs w:val="22"/>
                <w:u w:val="none"/>
                <w:lang w:val="en-US" w:eastAsia="zh-CN" w:bidi="ar"/>
              </w:rPr>
              <w:t>10,000.00</w:t>
            </w:r>
          </w:p>
        </w:tc>
        <w:tc>
          <w:tcPr>
            <w:tcW w:w="16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B32419">
            <w:pPr>
              <w:keepNext w:val="0"/>
              <w:keepLines w:val="0"/>
              <w:widowControl/>
              <w:suppressLineNumbers w:val="0"/>
              <w:jc w:val="right"/>
              <w:textAlignment w:val="center"/>
              <w:rPr>
                <w:rFonts w:ascii="宋体" w:hAnsi="宋体" w:cs="宋体"/>
                <w:color w:val="FF0000"/>
                <w:szCs w:val="21"/>
                <w:highlight w:val="none"/>
              </w:rPr>
            </w:pPr>
            <w:r>
              <w:rPr>
                <w:rFonts w:hint="eastAsia" w:ascii="宋体" w:hAnsi="宋体" w:eastAsia="宋体" w:cs="宋体"/>
                <w:i w:val="0"/>
                <w:iCs w:val="0"/>
                <w:color w:val="000000"/>
                <w:kern w:val="0"/>
                <w:sz w:val="22"/>
                <w:szCs w:val="22"/>
                <w:u w:val="none"/>
                <w:lang w:val="en-US" w:eastAsia="zh-CN" w:bidi="ar"/>
              </w:rPr>
              <w:t>10,000.00</w:t>
            </w:r>
          </w:p>
        </w:tc>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07A96D">
            <w:pPr>
              <w:keepNext w:val="0"/>
              <w:keepLines w:val="0"/>
              <w:widowControl/>
              <w:suppressLineNumbers w:val="0"/>
              <w:jc w:val="center"/>
              <w:textAlignment w:val="center"/>
              <w:rPr>
                <w:rFonts w:ascii="宋体" w:hAnsi="宋体" w:cs="宋体"/>
                <w:color w:val="FF0000"/>
                <w:szCs w:val="21"/>
                <w:highlight w:val="none"/>
              </w:rPr>
            </w:pPr>
            <w:r>
              <w:rPr>
                <w:rFonts w:hint="eastAsia" w:ascii="宋体" w:hAnsi="宋体" w:eastAsia="宋体" w:cs="宋体"/>
                <w:i w:val="0"/>
                <w:iCs w:val="0"/>
                <w:color w:val="000000"/>
                <w:kern w:val="0"/>
                <w:sz w:val="24"/>
                <w:szCs w:val="24"/>
                <w:u w:val="none"/>
                <w:lang w:val="en-US" w:eastAsia="zh-CN" w:bidi="ar"/>
              </w:rPr>
              <w:t xml:space="preserve">0.00 </w:t>
            </w:r>
          </w:p>
        </w:tc>
        <w:tc>
          <w:tcPr>
            <w:tcW w:w="11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65DFDA">
            <w:pPr>
              <w:keepNext w:val="0"/>
              <w:keepLines w:val="0"/>
              <w:widowControl/>
              <w:suppressLineNumbers w:val="0"/>
              <w:jc w:val="center"/>
              <w:textAlignment w:val="center"/>
              <w:rPr>
                <w:rFonts w:ascii="宋体" w:hAnsi="宋体" w:cs="宋体"/>
                <w:color w:val="FF0000"/>
                <w:szCs w:val="21"/>
                <w:highlight w:val="none"/>
              </w:rPr>
            </w:pPr>
            <w:r>
              <w:rPr>
                <w:rFonts w:hint="eastAsia" w:ascii="宋体" w:hAnsi="宋体" w:eastAsia="宋体" w:cs="宋体"/>
                <w:i w:val="0"/>
                <w:iCs w:val="0"/>
                <w:color w:val="000000"/>
                <w:kern w:val="0"/>
                <w:sz w:val="24"/>
                <w:szCs w:val="24"/>
                <w:u w:val="none"/>
                <w:lang w:val="en-US" w:eastAsia="zh-CN" w:bidi="ar"/>
              </w:rPr>
              <w:t>100.00%</w:t>
            </w:r>
          </w:p>
        </w:tc>
      </w:tr>
      <w:tr w14:paraId="27311B32">
        <w:tblPrEx>
          <w:tblCellMar>
            <w:top w:w="0" w:type="dxa"/>
            <w:left w:w="0" w:type="dxa"/>
            <w:bottom w:w="0" w:type="dxa"/>
            <w:right w:w="0" w:type="dxa"/>
          </w:tblCellMar>
        </w:tblPrEx>
        <w:trPr>
          <w:trHeight w:val="483" w:hRule="atLeast"/>
        </w:trPr>
        <w:tc>
          <w:tcPr>
            <w:tcW w:w="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4333DD">
            <w:pPr>
              <w:keepNext w:val="0"/>
              <w:keepLines w:val="0"/>
              <w:widowControl/>
              <w:suppressLineNumbers w:val="0"/>
              <w:jc w:val="center"/>
              <w:textAlignment w:val="center"/>
              <w:rPr>
                <w:rFonts w:ascii="宋体" w:hAnsi="宋体" w:cs="宋体"/>
                <w:color w:val="FF0000"/>
                <w:szCs w:val="21"/>
                <w:highlight w:val="none"/>
              </w:rPr>
            </w:pPr>
            <w:r>
              <w:rPr>
                <w:rFonts w:hint="eastAsia" w:ascii="宋体" w:hAnsi="宋体" w:eastAsia="宋体" w:cs="宋体"/>
                <w:i w:val="0"/>
                <w:iCs w:val="0"/>
                <w:color w:val="000000"/>
                <w:kern w:val="0"/>
                <w:sz w:val="24"/>
                <w:szCs w:val="24"/>
                <w:u w:val="none"/>
                <w:lang w:val="en-US" w:eastAsia="zh-CN" w:bidi="ar"/>
              </w:rPr>
              <w:t>2</w:t>
            </w:r>
          </w:p>
        </w:tc>
        <w:tc>
          <w:tcPr>
            <w:tcW w:w="36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1D7B0F">
            <w:pPr>
              <w:keepNext w:val="0"/>
              <w:keepLines w:val="0"/>
              <w:widowControl/>
              <w:suppressLineNumbers w:val="0"/>
              <w:jc w:val="left"/>
              <w:textAlignment w:val="center"/>
              <w:rPr>
                <w:rFonts w:ascii="宋体" w:hAnsi="宋体" w:cs="宋体"/>
                <w:color w:val="FF0000"/>
                <w:szCs w:val="21"/>
                <w:highlight w:val="none"/>
              </w:rPr>
            </w:pPr>
            <w:r>
              <w:rPr>
                <w:rFonts w:hint="eastAsia" w:ascii="宋体" w:hAnsi="宋体" w:eastAsia="宋体" w:cs="宋体"/>
                <w:i w:val="0"/>
                <w:iCs w:val="0"/>
                <w:color w:val="000000"/>
                <w:kern w:val="0"/>
                <w:sz w:val="22"/>
                <w:szCs w:val="22"/>
                <w:u w:val="none"/>
                <w:lang w:val="en-US" w:eastAsia="zh-CN" w:bidi="ar"/>
              </w:rPr>
              <w:t>2023年真抓实干督查激励工作经费</w:t>
            </w:r>
          </w:p>
        </w:tc>
        <w:tc>
          <w:tcPr>
            <w:tcW w:w="16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E9D9A9">
            <w:pPr>
              <w:keepNext w:val="0"/>
              <w:keepLines w:val="0"/>
              <w:widowControl/>
              <w:suppressLineNumbers w:val="0"/>
              <w:jc w:val="right"/>
              <w:textAlignment w:val="center"/>
              <w:rPr>
                <w:rFonts w:ascii="宋体" w:hAnsi="宋体" w:cs="宋体"/>
                <w:color w:val="FF0000"/>
                <w:szCs w:val="21"/>
                <w:highlight w:val="none"/>
              </w:rPr>
            </w:pPr>
            <w:r>
              <w:rPr>
                <w:rFonts w:hint="eastAsia" w:ascii="宋体" w:hAnsi="宋体" w:eastAsia="宋体" w:cs="宋体"/>
                <w:i w:val="0"/>
                <w:iCs w:val="0"/>
                <w:color w:val="000000"/>
                <w:kern w:val="0"/>
                <w:sz w:val="22"/>
                <w:szCs w:val="22"/>
                <w:u w:val="none"/>
                <w:lang w:val="en-US" w:eastAsia="zh-CN" w:bidi="ar"/>
              </w:rPr>
              <w:t>100,000.00</w:t>
            </w:r>
          </w:p>
        </w:tc>
        <w:tc>
          <w:tcPr>
            <w:tcW w:w="16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6F9CD0">
            <w:pPr>
              <w:keepNext w:val="0"/>
              <w:keepLines w:val="0"/>
              <w:widowControl/>
              <w:suppressLineNumbers w:val="0"/>
              <w:jc w:val="right"/>
              <w:textAlignment w:val="center"/>
              <w:rPr>
                <w:rFonts w:ascii="宋体" w:hAnsi="宋体" w:cs="宋体"/>
                <w:color w:val="FF0000"/>
                <w:szCs w:val="21"/>
                <w:highlight w:val="none"/>
              </w:rPr>
            </w:pPr>
            <w:r>
              <w:rPr>
                <w:rFonts w:hint="eastAsia" w:ascii="宋体" w:hAnsi="宋体" w:eastAsia="宋体" w:cs="宋体"/>
                <w:i w:val="0"/>
                <w:iCs w:val="0"/>
                <w:color w:val="000000"/>
                <w:kern w:val="0"/>
                <w:sz w:val="22"/>
                <w:szCs w:val="22"/>
                <w:u w:val="none"/>
                <w:lang w:val="en-US" w:eastAsia="zh-CN" w:bidi="ar"/>
              </w:rPr>
              <w:t>100,000.00</w:t>
            </w:r>
          </w:p>
        </w:tc>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591195">
            <w:pPr>
              <w:keepNext w:val="0"/>
              <w:keepLines w:val="0"/>
              <w:widowControl/>
              <w:suppressLineNumbers w:val="0"/>
              <w:jc w:val="center"/>
              <w:textAlignment w:val="center"/>
              <w:rPr>
                <w:rFonts w:ascii="宋体" w:hAnsi="宋体" w:cs="宋体"/>
                <w:color w:val="FF0000"/>
                <w:szCs w:val="21"/>
                <w:highlight w:val="none"/>
              </w:rPr>
            </w:pPr>
            <w:r>
              <w:rPr>
                <w:rFonts w:hint="eastAsia" w:ascii="宋体" w:hAnsi="宋体" w:eastAsia="宋体" w:cs="宋体"/>
                <w:i w:val="0"/>
                <w:iCs w:val="0"/>
                <w:color w:val="000000"/>
                <w:kern w:val="0"/>
                <w:sz w:val="24"/>
                <w:szCs w:val="24"/>
                <w:u w:val="none"/>
                <w:lang w:val="en-US" w:eastAsia="zh-CN" w:bidi="ar"/>
              </w:rPr>
              <w:t xml:space="preserve">0.00 </w:t>
            </w:r>
          </w:p>
        </w:tc>
        <w:tc>
          <w:tcPr>
            <w:tcW w:w="11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71733E">
            <w:pPr>
              <w:keepNext w:val="0"/>
              <w:keepLines w:val="0"/>
              <w:widowControl/>
              <w:suppressLineNumbers w:val="0"/>
              <w:jc w:val="center"/>
              <w:textAlignment w:val="center"/>
              <w:rPr>
                <w:rFonts w:ascii="宋体" w:hAnsi="宋体" w:cs="宋体"/>
                <w:color w:val="FF0000"/>
                <w:szCs w:val="21"/>
                <w:highlight w:val="none"/>
              </w:rPr>
            </w:pPr>
            <w:r>
              <w:rPr>
                <w:rFonts w:hint="eastAsia" w:ascii="宋体" w:hAnsi="宋体" w:eastAsia="宋体" w:cs="宋体"/>
                <w:i w:val="0"/>
                <w:iCs w:val="0"/>
                <w:color w:val="000000"/>
                <w:kern w:val="0"/>
                <w:sz w:val="24"/>
                <w:szCs w:val="24"/>
                <w:u w:val="none"/>
                <w:lang w:val="en-US" w:eastAsia="zh-CN" w:bidi="ar"/>
              </w:rPr>
              <w:t>100.00%</w:t>
            </w:r>
          </w:p>
        </w:tc>
      </w:tr>
      <w:tr w14:paraId="3EC85C8A">
        <w:tblPrEx>
          <w:tblCellMar>
            <w:top w:w="0" w:type="dxa"/>
            <w:left w:w="0" w:type="dxa"/>
            <w:bottom w:w="0" w:type="dxa"/>
            <w:right w:w="0" w:type="dxa"/>
          </w:tblCellMar>
        </w:tblPrEx>
        <w:trPr>
          <w:trHeight w:val="402" w:hRule="atLeast"/>
        </w:trPr>
        <w:tc>
          <w:tcPr>
            <w:tcW w:w="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3C970F">
            <w:pPr>
              <w:keepNext w:val="0"/>
              <w:keepLines w:val="0"/>
              <w:widowControl/>
              <w:suppressLineNumbers w:val="0"/>
              <w:jc w:val="center"/>
              <w:textAlignment w:val="center"/>
              <w:rPr>
                <w:rFonts w:ascii="宋体" w:hAnsi="宋体" w:cs="宋体"/>
                <w:color w:val="FF0000"/>
                <w:szCs w:val="21"/>
                <w:highlight w:val="none"/>
              </w:rPr>
            </w:pPr>
            <w:r>
              <w:rPr>
                <w:rFonts w:hint="eastAsia" w:ascii="宋体" w:hAnsi="宋体" w:eastAsia="宋体" w:cs="宋体"/>
                <w:i w:val="0"/>
                <w:iCs w:val="0"/>
                <w:color w:val="000000"/>
                <w:kern w:val="0"/>
                <w:sz w:val="24"/>
                <w:szCs w:val="24"/>
                <w:u w:val="none"/>
                <w:lang w:val="en-US" w:eastAsia="zh-CN" w:bidi="ar"/>
              </w:rPr>
              <w:t>3</w:t>
            </w:r>
          </w:p>
        </w:tc>
        <w:tc>
          <w:tcPr>
            <w:tcW w:w="36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7497E8">
            <w:pPr>
              <w:keepNext w:val="0"/>
              <w:keepLines w:val="0"/>
              <w:widowControl/>
              <w:suppressLineNumbers w:val="0"/>
              <w:jc w:val="left"/>
              <w:textAlignment w:val="center"/>
              <w:rPr>
                <w:rFonts w:ascii="宋体" w:hAnsi="宋体" w:cs="宋体"/>
                <w:color w:val="FF0000"/>
                <w:szCs w:val="21"/>
                <w:highlight w:val="none"/>
              </w:rPr>
            </w:pPr>
            <w:r>
              <w:rPr>
                <w:rFonts w:hint="eastAsia" w:ascii="宋体" w:hAnsi="宋体" w:eastAsia="宋体" w:cs="宋体"/>
                <w:i w:val="0"/>
                <w:iCs w:val="0"/>
                <w:color w:val="000000"/>
                <w:kern w:val="0"/>
                <w:sz w:val="22"/>
                <w:szCs w:val="22"/>
                <w:u w:val="none"/>
                <w:lang w:val="en-US" w:eastAsia="zh-CN" w:bidi="ar"/>
              </w:rPr>
              <w:t>2023年驻村帮扶“第一书记”专项工作经费</w:t>
            </w:r>
          </w:p>
        </w:tc>
        <w:tc>
          <w:tcPr>
            <w:tcW w:w="16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4AB149">
            <w:pPr>
              <w:keepNext w:val="0"/>
              <w:keepLines w:val="0"/>
              <w:widowControl/>
              <w:suppressLineNumbers w:val="0"/>
              <w:jc w:val="right"/>
              <w:textAlignment w:val="center"/>
              <w:rPr>
                <w:rFonts w:ascii="宋体" w:hAnsi="宋体" w:cs="宋体"/>
                <w:color w:val="FF0000"/>
                <w:szCs w:val="21"/>
                <w:highlight w:val="none"/>
              </w:rPr>
            </w:pPr>
            <w:r>
              <w:rPr>
                <w:rFonts w:hint="eastAsia" w:ascii="宋体" w:hAnsi="宋体" w:eastAsia="宋体" w:cs="宋体"/>
                <w:i w:val="0"/>
                <w:iCs w:val="0"/>
                <w:color w:val="000000"/>
                <w:kern w:val="0"/>
                <w:sz w:val="22"/>
                <w:szCs w:val="22"/>
                <w:u w:val="none"/>
                <w:lang w:val="en-US" w:eastAsia="zh-CN" w:bidi="ar"/>
              </w:rPr>
              <w:t>20,000.00</w:t>
            </w:r>
          </w:p>
        </w:tc>
        <w:tc>
          <w:tcPr>
            <w:tcW w:w="16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7AE95C">
            <w:pPr>
              <w:keepNext w:val="0"/>
              <w:keepLines w:val="0"/>
              <w:widowControl/>
              <w:suppressLineNumbers w:val="0"/>
              <w:jc w:val="right"/>
              <w:textAlignment w:val="center"/>
              <w:rPr>
                <w:rFonts w:ascii="宋体" w:hAnsi="宋体" w:cs="宋体"/>
                <w:color w:val="FF0000"/>
                <w:szCs w:val="21"/>
                <w:highlight w:val="none"/>
              </w:rPr>
            </w:pPr>
            <w:r>
              <w:rPr>
                <w:rFonts w:hint="eastAsia" w:ascii="宋体" w:hAnsi="宋体" w:eastAsia="宋体" w:cs="宋体"/>
                <w:i w:val="0"/>
                <w:iCs w:val="0"/>
                <w:color w:val="000000"/>
                <w:kern w:val="0"/>
                <w:sz w:val="22"/>
                <w:szCs w:val="22"/>
                <w:u w:val="none"/>
                <w:lang w:val="en-US" w:eastAsia="zh-CN" w:bidi="ar"/>
              </w:rPr>
              <w:t>20,000.00</w:t>
            </w:r>
          </w:p>
        </w:tc>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CD1B6B">
            <w:pPr>
              <w:keepNext w:val="0"/>
              <w:keepLines w:val="0"/>
              <w:widowControl/>
              <w:suppressLineNumbers w:val="0"/>
              <w:jc w:val="center"/>
              <w:textAlignment w:val="center"/>
              <w:rPr>
                <w:rFonts w:ascii="宋体" w:hAnsi="宋体" w:cs="宋体"/>
                <w:color w:val="FF0000"/>
                <w:szCs w:val="21"/>
                <w:highlight w:val="none"/>
              </w:rPr>
            </w:pPr>
            <w:r>
              <w:rPr>
                <w:rFonts w:hint="eastAsia" w:ascii="宋体" w:hAnsi="宋体" w:eastAsia="宋体" w:cs="宋体"/>
                <w:i w:val="0"/>
                <w:iCs w:val="0"/>
                <w:color w:val="000000"/>
                <w:kern w:val="0"/>
                <w:sz w:val="24"/>
                <w:szCs w:val="24"/>
                <w:u w:val="none"/>
                <w:lang w:val="en-US" w:eastAsia="zh-CN" w:bidi="ar"/>
              </w:rPr>
              <w:t xml:space="preserve">0.00 </w:t>
            </w:r>
          </w:p>
        </w:tc>
        <w:tc>
          <w:tcPr>
            <w:tcW w:w="11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384877">
            <w:pPr>
              <w:keepNext w:val="0"/>
              <w:keepLines w:val="0"/>
              <w:widowControl/>
              <w:suppressLineNumbers w:val="0"/>
              <w:jc w:val="center"/>
              <w:textAlignment w:val="center"/>
              <w:rPr>
                <w:rFonts w:ascii="宋体" w:hAnsi="宋体" w:cs="宋体"/>
                <w:color w:val="FF0000"/>
                <w:szCs w:val="21"/>
                <w:highlight w:val="none"/>
              </w:rPr>
            </w:pPr>
            <w:r>
              <w:rPr>
                <w:rFonts w:hint="eastAsia" w:ascii="宋体" w:hAnsi="宋体" w:eastAsia="宋体" w:cs="宋体"/>
                <w:i w:val="0"/>
                <w:iCs w:val="0"/>
                <w:color w:val="000000"/>
                <w:kern w:val="0"/>
                <w:sz w:val="24"/>
                <w:szCs w:val="24"/>
                <w:u w:val="none"/>
                <w:lang w:val="en-US" w:eastAsia="zh-CN" w:bidi="ar"/>
              </w:rPr>
              <w:t>100.00%</w:t>
            </w:r>
          </w:p>
        </w:tc>
      </w:tr>
      <w:tr w14:paraId="5D4334E5">
        <w:tblPrEx>
          <w:tblCellMar>
            <w:top w:w="0" w:type="dxa"/>
            <w:left w:w="0" w:type="dxa"/>
            <w:bottom w:w="0" w:type="dxa"/>
            <w:right w:w="0" w:type="dxa"/>
          </w:tblCellMar>
        </w:tblPrEx>
        <w:trPr>
          <w:trHeight w:val="448" w:hRule="atLeast"/>
        </w:trPr>
        <w:tc>
          <w:tcPr>
            <w:tcW w:w="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0FB2F3">
            <w:pPr>
              <w:keepNext w:val="0"/>
              <w:keepLines w:val="0"/>
              <w:widowControl/>
              <w:suppressLineNumbers w:val="0"/>
              <w:jc w:val="center"/>
              <w:textAlignment w:val="center"/>
              <w:rPr>
                <w:rFonts w:ascii="宋体" w:hAnsi="宋体" w:cs="宋体"/>
                <w:color w:val="FF0000"/>
                <w:szCs w:val="21"/>
                <w:highlight w:val="none"/>
              </w:rPr>
            </w:pPr>
            <w:r>
              <w:rPr>
                <w:rFonts w:hint="eastAsia" w:ascii="宋体" w:hAnsi="宋体" w:eastAsia="宋体" w:cs="宋体"/>
                <w:i w:val="0"/>
                <w:iCs w:val="0"/>
                <w:color w:val="000000"/>
                <w:kern w:val="0"/>
                <w:sz w:val="24"/>
                <w:szCs w:val="24"/>
                <w:u w:val="none"/>
                <w:lang w:val="en-US" w:eastAsia="zh-CN" w:bidi="ar"/>
              </w:rPr>
              <w:t>4</w:t>
            </w:r>
          </w:p>
        </w:tc>
        <w:tc>
          <w:tcPr>
            <w:tcW w:w="36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998CD0">
            <w:pPr>
              <w:keepNext w:val="0"/>
              <w:keepLines w:val="0"/>
              <w:widowControl/>
              <w:suppressLineNumbers w:val="0"/>
              <w:jc w:val="left"/>
              <w:textAlignment w:val="center"/>
              <w:rPr>
                <w:rFonts w:ascii="宋体" w:hAnsi="宋体" w:cs="宋体"/>
                <w:color w:val="FF0000"/>
                <w:szCs w:val="21"/>
                <w:highlight w:val="none"/>
              </w:rPr>
            </w:pPr>
            <w:r>
              <w:rPr>
                <w:rFonts w:hint="eastAsia" w:ascii="宋体" w:hAnsi="宋体" w:eastAsia="宋体" w:cs="宋体"/>
                <w:i w:val="0"/>
                <w:iCs w:val="0"/>
                <w:color w:val="000000"/>
                <w:kern w:val="0"/>
                <w:sz w:val="22"/>
                <w:szCs w:val="22"/>
                <w:u w:val="none"/>
                <w:lang w:val="en-US" w:eastAsia="zh-CN" w:bidi="ar"/>
              </w:rPr>
              <w:t>林业局、农业局、看守所家属楼老旧小区改造项目</w:t>
            </w:r>
          </w:p>
        </w:tc>
        <w:tc>
          <w:tcPr>
            <w:tcW w:w="16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A54FF2">
            <w:pPr>
              <w:keepNext w:val="0"/>
              <w:keepLines w:val="0"/>
              <w:widowControl/>
              <w:suppressLineNumbers w:val="0"/>
              <w:jc w:val="right"/>
              <w:textAlignment w:val="center"/>
              <w:rPr>
                <w:rFonts w:ascii="宋体" w:hAnsi="宋体" w:cs="宋体"/>
                <w:color w:val="FF0000"/>
                <w:szCs w:val="21"/>
                <w:highlight w:val="none"/>
              </w:rPr>
            </w:pPr>
            <w:r>
              <w:rPr>
                <w:rFonts w:hint="eastAsia" w:ascii="宋体" w:hAnsi="宋体" w:eastAsia="宋体" w:cs="宋体"/>
                <w:i w:val="0"/>
                <w:iCs w:val="0"/>
                <w:color w:val="000000"/>
                <w:kern w:val="0"/>
                <w:sz w:val="22"/>
                <w:szCs w:val="22"/>
                <w:u w:val="none"/>
                <w:lang w:val="en-US" w:eastAsia="zh-CN" w:bidi="ar"/>
              </w:rPr>
              <w:t>903,422.44</w:t>
            </w:r>
          </w:p>
        </w:tc>
        <w:tc>
          <w:tcPr>
            <w:tcW w:w="16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E41A72">
            <w:pPr>
              <w:keepNext w:val="0"/>
              <w:keepLines w:val="0"/>
              <w:widowControl/>
              <w:suppressLineNumbers w:val="0"/>
              <w:jc w:val="right"/>
              <w:textAlignment w:val="center"/>
              <w:rPr>
                <w:rFonts w:ascii="宋体" w:hAnsi="宋体" w:cs="宋体"/>
                <w:color w:val="FF0000"/>
                <w:szCs w:val="21"/>
                <w:highlight w:val="none"/>
              </w:rPr>
            </w:pPr>
            <w:r>
              <w:rPr>
                <w:rFonts w:hint="eastAsia" w:ascii="宋体" w:hAnsi="宋体" w:eastAsia="宋体" w:cs="宋体"/>
                <w:i w:val="0"/>
                <w:iCs w:val="0"/>
                <w:color w:val="000000"/>
                <w:kern w:val="0"/>
                <w:sz w:val="22"/>
                <w:szCs w:val="22"/>
                <w:u w:val="none"/>
                <w:lang w:val="en-US" w:eastAsia="zh-CN" w:bidi="ar"/>
              </w:rPr>
              <w:t>903,422.44</w:t>
            </w:r>
          </w:p>
        </w:tc>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43DECC">
            <w:pPr>
              <w:keepNext w:val="0"/>
              <w:keepLines w:val="0"/>
              <w:widowControl/>
              <w:suppressLineNumbers w:val="0"/>
              <w:jc w:val="center"/>
              <w:textAlignment w:val="center"/>
              <w:rPr>
                <w:rFonts w:ascii="宋体" w:hAnsi="宋体" w:cs="宋体"/>
                <w:color w:val="FF0000"/>
                <w:szCs w:val="21"/>
                <w:highlight w:val="none"/>
              </w:rPr>
            </w:pPr>
            <w:r>
              <w:rPr>
                <w:rFonts w:hint="eastAsia" w:ascii="宋体" w:hAnsi="宋体" w:eastAsia="宋体" w:cs="宋体"/>
                <w:i w:val="0"/>
                <w:iCs w:val="0"/>
                <w:color w:val="000000"/>
                <w:kern w:val="0"/>
                <w:sz w:val="24"/>
                <w:szCs w:val="24"/>
                <w:u w:val="none"/>
                <w:lang w:val="en-US" w:eastAsia="zh-CN" w:bidi="ar"/>
              </w:rPr>
              <w:t xml:space="preserve">0.00 </w:t>
            </w:r>
          </w:p>
        </w:tc>
        <w:tc>
          <w:tcPr>
            <w:tcW w:w="11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BBAA70">
            <w:pPr>
              <w:keepNext w:val="0"/>
              <w:keepLines w:val="0"/>
              <w:widowControl/>
              <w:suppressLineNumbers w:val="0"/>
              <w:jc w:val="center"/>
              <w:textAlignment w:val="center"/>
              <w:rPr>
                <w:rFonts w:ascii="宋体" w:hAnsi="宋体" w:cs="宋体"/>
                <w:color w:val="FF0000"/>
                <w:szCs w:val="21"/>
                <w:highlight w:val="none"/>
              </w:rPr>
            </w:pPr>
            <w:r>
              <w:rPr>
                <w:rFonts w:hint="eastAsia" w:ascii="宋体" w:hAnsi="宋体" w:eastAsia="宋体" w:cs="宋体"/>
                <w:i w:val="0"/>
                <w:iCs w:val="0"/>
                <w:color w:val="000000"/>
                <w:kern w:val="0"/>
                <w:sz w:val="24"/>
                <w:szCs w:val="24"/>
                <w:u w:val="none"/>
                <w:lang w:val="en-US" w:eastAsia="zh-CN" w:bidi="ar"/>
              </w:rPr>
              <w:t>100.00%</w:t>
            </w:r>
          </w:p>
        </w:tc>
      </w:tr>
      <w:tr w14:paraId="096238A0">
        <w:tblPrEx>
          <w:tblCellMar>
            <w:top w:w="0" w:type="dxa"/>
            <w:left w:w="0" w:type="dxa"/>
            <w:bottom w:w="0" w:type="dxa"/>
            <w:right w:w="0" w:type="dxa"/>
          </w:tblCellMar>
        </w:tblPrEx>
        <w:trPr>
          <w:trHeight w:val="455" w:hRule="atLeast"/>
        </w:trPr>
        <w:tc>
          <w:tcPr>
            <w:tcW w:w="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3CB369">
            <w:pPr>
              <w:keepNext w:val="0"/>
              <w:keepLines w:val="0"/>
              <w:widowControl/>
              <w:suppressLineNumbers w:val="0"/>
              <w:jc w:val="center"/>
              <w:textAlignment w:val="center"/>
              <w:rPr>
                <w:rFonts w:ascii="宋体" w:hAnsi="宋体" w:cs="宋体"/>
                <w:color w:val="FF0000"/>
                <w:szCs w:val="21"/>
                <w:highlight w:val="none"/>
              </w:rPr>
            </w:pPr>
            <w:r>
              <w:rPr>
                <w:rFonts w:hint="eastAsia" w:ascii="宋体" w:hAnsi="宋体" w:eastAsia="宋体" w:cs="宋体"/>
                <w:i w:val="0"/>
                <w:iCs w:val="0"/>
                <w:color w:val="000000"/>
                <w:kern w:val="0"/>
                <w:sz w:val="24"/>
                <w:szCs w:val="24"/>
                <w:u w:val="none"/>
                <w:lang w:val="en-US" w:eastAsia="zh-CN" w:bidi="ar"/>
              </w:rPr>
              <w:t>5</w:t>
            </w:r>
          </w:p>
        </w:tc>
        <w:tc>
          <w:tcPr>
            <w:tcW w:w="36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216C35">
            <w:pPr>
              <w:keepNext w:val="0"/>
              <w:keepLines w:val="0"/>
              <w:widowControl/>
              <w:suppressLineNumbers w:val="0"/>
              <w:jc w:val="left"/>
              <w:textAlignment w:val="center"/>
              <w:rPr>
                <w:rFonts w:ascii="宋体" w:hAnsi="宋体" w:cs="宋体"/>
                <w:color w:val="FF0000"/>
                <w:szCs w:val="21"/>
                <w:highlight w:val="none"/>
              </w:rPr>
            </w:pPr>
            <w:r>
              <w:rPr>
                <w:rFonts w:hint="eastAsia" w:ascii="宋体" w:hAnsi="宋体" w:eastAsia="宋体" w:cs="宋体"/>
                <w:i w:val="0"/>
                <w:iCs w:val="0"/>
                <w:color w:val="000000"/>
                <w:kern w:val="0"/>
                <w:sz w:val="22"/>
                <w:szCs w:val="22"/>
                <w:u w:val="none"/>
                <w:lang w:val="en-US" w:eastAsia="zh-CN" w:bidi="ar"/>
              </w:rPr>
              <w:t>桃江县建材和装配式建筑产业链专班工作经费</w:t>
            </w:r>
          </w:p>
        </w:tc>
        <w:tc>
          <w:tcPr>
            <w:tcW w:w="16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07D112">
            <w:pPr>
              <w:keepNext w:val="0"/>
              <w:keepLines w:val="0"/>
              <w:widowControl/>
              <w:suppressLineNumbers w:val="0"/>
              <w:jc w:val="right"/>
              <w:textAlignment w:val="center"/>
              <w:rPr>
                <w:rFonts w:ascii="宋体" w:hAnsi="宋体" w:cs="宋体"/>
                <w:color w:val="FF0000"/>
                <w:szCs w:val="21"/>
                <w:highlight w:val="none"/>
              </w:rPr>
            </w:pPr>
            <w:r>
              <w:rPr>
                <w:rFonts w:hint="eastAsia" w:ascii="宋体" w:hAnsi="宋体" w:eastAsia="宋体" w:cs="宋体"/>
                <w:i w:val="0"/>
                <w:iCs w:val="0"/>
                <w:color w:val="000000"/>
                <w:kern w:val="0"/>
                <w:sz w:val="22"/>
                <w:szCs w:val="22"/>
                <w:u w:val="none"/>
                <w:lang w:val="en-US" w:eastAsia="zh-CN" w:bidi="ar"/>
              </w:rPr>
              <w:t>131,488.00</w:t>
            </w:r>
          </w:p>
        </w:tc>
        <w:tc>
          <w:tcPr>
            <w:tcW w:w="16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6E04FE">
            <w:pPr>
              <w:keepNext w:val="0"/>
              <w:keepLines w:val="0"/>
              <w:widowControl/>
              <w:suppressLineNumbers w:val="0"/>
              <w:jc w:val="right"/>
              <w:textAlignment w:val="center"/>
              <w:rPr>
                <w:rFonts w:ascii="宋体" w:hAnsi="宋体" w:cs="宋体"/>
                <w:color w:val="FF0000"/>
                <w:szCs w:val="21"/>
                <w:highlight w:val="none"/>
              </w:rPr>
            </w:pPr>
            <w:r>
              <w:rPr>
                <w:rFonts w:hint="eastAsia" w:ascii="宋体" w:hAnsi="宋体" w:eastAsia="宋体" w:cs="宋体"/>
                <w:i w:val="0"/>
                <w:iCs w:val="0"/>
                <w:color w:val="000000"/>
                <w:kern w:val="0"/>
                <w:sz w:val="22"/>
                <w:szCs w:val="22"/>
                <w:u w:val="none"/>
                <w:lang w:val="en-US" w:eastAsia="zh-CN" w:bidi="ar"/>
              </w:rPr>
              <w:t>131,488.00</w:t>
            </w:r>
          </w:p>
        </w:tc>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F257B5">
            <w:pPr>
              <w:keepNext w:val="0"/>
              <w:keepLines w:val="0"/>
              <w:widowControl/>
              <w:suppressLineNumbers w:val="0"/>
              <w:jc w:val="center"/>
              <w:textAlignment w:val="center"/>
              <w:rPr>
                <w:rFonts w:ascii="宋体" w:hAnsi="宋体" w:cs="宋体"/>
                <w:color w:val="FF0000"/>
                <w:szCs w:val="21"/>
                <w:highlight w:val="none"/>
              </w:rPr>
            </w:pPr>
            <w:r>
              <w:rPr>
                <w:rFonts w:hint="eastAsia" w:ascii="宋体" w:hAnsi="宋体" w:eastAsia="宋体" w:cs="宋体"/>
                <w:i w:val="0"/>
                <w:iCs w:val="0"/>
                <w:color w:val="000000"/>
                <w:kern w:val="0"/>
                <w:sz w:val="24"/>
                <w:szCs w:val="24"/>
                <w:u w:val="none"/>
                <w:lang w:val="en-US" w:eastAsia="zh-CN" w:bidi="ar"/>
              </w:rPr>
              <w:t xml:space="preserve">0.00 </w:t>
            </w:r>
          </w:p>
        </w:tc>
        <w:tc>
          <w:tcPr>
            <w:tcW w:w="11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707EB6">
            <w:pPr>
              <w:keepNext w:val="0"/>
              <w:keepLines w:val="0"/>
              <w:widowControl/>
              <w:suppressLineNumbers w:val="0"/>
              <w:jc w:val="center"/>
              <w:textAlignment w:val="center"/>
              <w:rPr>
                <w:rFonts w:ascii="宋体" w:hAnsi="宋体" w:cs="宋体"/>
                <w:color w:val="FF0000"/>
                <w:szCs w:val="21"/>
                <w:highlight w:val="none"/>
              </w:rPr>
            </w:pPr>
            <w:r>
              <w:rPr>
                <w:rFonts w:hint="eastAsia" w:ascii="宋体" w:hAnsi="宋体" w:eastAsia="宋体" w:cs="宋体"/>
                <w:i w:val="0"/>
                <w:iCs w:val="0"/>
                <w:color w:val="000000"/>
                <w:kern w:val="0"/>
                <w:sz w:val="24"/>
                <w:szCs w:val="24"/>
                <w:u w:val="none"/>
                <w:lang w:val="en-US" w:eastAsia="zh-CN" w:bidi="ar"/>
              </w:rPr>
              <w:t>100.00%</w:t>
            </w:r>
          </w:p>
        </w:tc>
      </w:tr>
      <w:tr w14:paraId="7B75B37B">
        <w:tblPrEx>
          <w:tblCellMar>
            <w:top w:w="0" w:type="dxa"/>
            <w:left w:w="0" w:type="dxa"/>
            <w:bottom w:w="0" w:type="dxa"/>
            <w:right w:w="0" w:type="dxa"/>
          </w:tblCellMar>
        </w:tblPrEx>
        <w:trPr>
          <w:trHeight w:val="600" w:hRule="atLeast"/>
        </w:trPr>
        <w:tc>
          <w:tcPr>
            <w:tcW w:w="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5EC139">
            <w:pPr>
              <w:keepNext w:val="0"/>
              <w:keepLines w:val="0"/>
              <w:widowControl/>
              <w:suppressLineNumbers w:val="0"/>
              <w:jc w:val="center"/>
              <w:textAlignment w:val="center"/>
              <w:rPr>
                <w:rFonts w:ascii="宋体" w:hAnsi="宋体" w:cs="宋体"/>
                <w:color w:val="FF0000"/>
                <w:szCs w:val="21"/>
                <w:highlight w:val="none"/>
              </w:rPr>
            </w:pPr>
            <w:r>
              <w:rPr>
                <w:rFonts w:hint="eastAsia" w:ascii="宋体" w:hAnsi="宋体" w:eastAsia="宋体" w:cs="宋体"/>
                <w:i w:val="0"/>
                <w:iCs w:val="0"/>
                <w:color w:val="000000"/>
                <w:kern w:val="0"/>
                <w:sz w:val="24"/>
                <w:szCs w:val="24"/>
                <w:u w:val="none"/>
                <w:lang w:val="en-US" w:eastAsia="zh-CN" w:bidi="ar"/>
              </w:rPr>
              <w:t>6</w:t>
            </w:r>
          </w:p>
        </w:tc>
        <w:tc>
          <w:tcPr>
            <w:tcW w:w="36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7363A0">
            <w:pPr>
              <w:keepNext w:val="0"/>
              <w:keepLines w:val="0"/>
              <w:widowControl/>
              <w:suppressLineNumbers w:val="0"/>
              <w:jc w:val="left"/>
              <w:textAlignment w:val="center"/>
              <w:rPr>
                <w:rFonts w:ascii="宋体" w:hAnsi="宋体" w:cs="宋体"/>
                <w:color w:val="FF0000"/>
                <w:szCs w:val="21"/>
                <w:highlight w:val="none"/>
              </w:rPr>
            </w:pPr>
            <w:r>
              <w:rPr>
                <w:rFonts w:hint="eastAsia" w:ascii="宋体" w:hAnsi="宋体" w:eastAsia="宋体" w:cs="宋体"/>
                <w:i w:val="0"/>
                <w:iCs w:val="0"/>
                <w:color w:val="000000"/>
                <w:kern w:val="0"/>
                <w:sz w:val="22"/>
                <w:szCs w:val="22"/>
                <w:u w:val="none"/>
                <w:lang w:val="en-US" w:eastAsia="zh-CN" w:bidi="ar"/>
              </w:rPr>
              <w:t>2022年立项争资保障工作经费</w:t>
            </w:r>
          </w:p>
        </w:tc>
        <w:tc>
          <w:tcPr>
            <w:tcW w:w="16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0C3906">
            <w:pPr>
              <w:keepNext w:val="0"/>
              <w:keepLines w:val="0"/>
              <w:widowControl/>
              <w:suppressLineNumbers w:val="0"/>
              <w:jc w:val="right"/>
              <w:textAlignment w:val="center"/>
              <w:rPr>
                <w:rFonts w:ascii="宋体" w:hAnsi="宋体" w:cs="宋体"/>
                <w:color w:val="FF0000"/>
                <w:szCs w:val="21"/>
                <w:highlight w:val="none"/>
              </w:rPr>
            </w:pPr>
            <w:r>
              <w:rPr>
                <w:rFonts w:hint="eastAsia" w:ascii="宋体" w:hAnsi="宋体" w:eastAsia="宋体" w:cs="宋体"/>
                <w:i w:val="0"/>
                <w:iCs w:val="0"/>
                <w:color w:val="000000"/>
                <w:kern w:val="0"/>
                <w:sz w:val="22"/>
                <w:szCs w:val="22"/>
                <w:u w:val="none"/>
                <w:lang w:val="en-US" w:eastAsia="zh-CN" w:bidi="ar"/>
              </w:rPr>
              <w:t>768,400.00</w:t>
            </w:r>
          </w:p>
        </w:tc>
        <w:tc>
          <w:tcPr>
            <w:tcW w:w="16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29D1AF">
            <w:pPr>
              <w:keepNext w:val="0"/>
              <w:keepLines w:val="0"/>
              <w:widowControl/>
              <w:suppressLineNumbers w:val="0"/>
              <w:jc w:val="right"/>
              <w:textAlignment w:val="center"/>
              <w:rPr>
                <w:rFonts w:ascii="宋体" w:hAnsi="宋体" w:cs="宋体"/>
                <w:color w:val="FF0000"/>
                <w:szCs w:val="21"/>
                <w:highlight w:val="none"/>
              </w:rPr>
            </w:pPr>
            <w:r>
              <w:rPr>
                <w:rFonts w:hint="eastAsia" w:ascii="宋体" w:hAnsi="宋体" w:eastAsia="宋体" w:cs="宋体"/>
                <w:i w:val="0"/>
                <w:iCs w:val="0"/>
                <w:color w:val="000000"/>
                <w:kern w:val="0"/>
                <w:sz w:val="22"/>
                <w:szCs w:val="22"/>
                <w:u w:val="none"/>
                <w:lang w:val="en-US" w:eastAsia="zh-CN" w:bidi="ar"/>
              </w:rPr>
              <w:t>768,400.00</w:t>
            </w:r>
          </w:p>
        </w:tc>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8DF4B7">
            <w:pPr>
              <w:keepNext w:val="0"/>
              <w:keepLines w:val="0"/>
              <w:widowControl/>
              <w:suppressLineNumbers w:val="0"/>
              <w:jc w:val="center"/>
              <w:textAlignment w:val="center"/>
              <w:rPr>
                <w:rFonts w:ascii="宋体" w:hAnsi="宋体" w:cs="宋体"/>
                <w:color w:val="FF0000"/>
                <w:szCs w:val="21"/>
                <w:highlight w:val="none"/>
              </w:rPr>
            </w:pPr>
            <w:r>
              <w:rPr>
                <w:rFonts w:hint="eastAsia" w:ascii="宋体" w:hAnsi="宋体" w:eastAsia="宋体" w:cs="宋体"/>
                <w:i w:val="0"/>
                <w:iCs w:val="0"/>
                <w:color w:val="000000"/>
                <w:kern w:val="0"/>
                <w:sz w:val="24"/>
                <w:szCs w:val="24"/>
                <w:u w:val="none"/>
                <w:lang w:val="en-US" w:eastAsia="zh-CN" w:bidi="ar"/>
              </w:rPr>
              <w:t xml:space="preserve">0.00 </w:t>
            </w:r>
          </w:p>
        </w:tc>
        <w:tc>
          <w:tcPr>
            <w:tcW w:w="11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9F98F3">
            <w:pPr>
              <w:keepNext w:val="0"/>
              <w:keepLines w:val="0"/>
              <w:widowControl/>
              <w:suppressLineNumbers w:val="0"/>
              <w:jc w:val="center"/>
              <w:textAlignment w:val="center"/>
              <w:rPr>
                <w:rFonts w:ascii="宋体" w:hAnsi="宋体" w:cs="宋体"/>
                <w:color w:val="FF0000"/>
                <w:szCs w:val="21"/>
                <w:highlight w:val="none"/>
              </w:rPr>
            </w:pPr>
            <w:r>
              <w:rPr>
                <w:rFonts w:hint="eastAsia" w:ascii="宋体" w:hAnsi="宋体" w:eastAsia="宋体" w:cs="宋体"/>
                <w:i w:val="0"/>
                <w:iCs w:val="0"/>
                <w:color w:val="000000"/>
                <w:kern w:val="0"/>
                <w:sz w:val="24"/>
                <w:szCs w:val="24"/>
                <w:u w:val="none"/>
                <w:lang w:val="en-US" w:eastAsia="zh-CN" w:bidi="ar"/>
              </w:rPr>
              <w:t>100.00%</w:t>
            </w:r>
          </w:p>
        </w:tc>
      </w:tr>
      <w:tr w14:paraId="7760D848">
        <w:tblPrEx>
          <w:tblCellMar>
            <w:top w:w="0" w:type="dxa"/>
            <w:left w:w="0" w:type="dxa"/>
            <w:bottom w:w="0" w:type="dxa"/>
            <w:right w:w="0" w:type="dxa"/>
          </w:tblCellMar>
        </w:tblPrEx>
        <w:trPr>
          <w:trHeight w:val="600" w:hRule="atLeast"/>
        </w:trPr>
        <w:tc>
          <w:tcPr>
            <w:tcW w:w="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83EA56">
            <w:pPr>
              <w:keepNext w:val="0"/>
              <w:keepLines w:val="0"/>
              <w:widowControl/>
              <w:suppressLineNumbers w:val="0"/>
              <w:jc w:val="center"/>
              <w:textAlignment w:val="center"/>
              <w:rPr>
                <w:rFonts w:ascii="宋体" w:hAnsi="宋体" w:cs="宋体"/>
                <w:color w:val="FF0000"/>
                <w:szCs w:val="21"/>
                <w:highlight w:val="none"/>
              </w:rPr>
            </w:pPr>
            <w:r>
              <w:rPr>
                <w:rFonts w:hint="eastAsia" w:ascii="宋体" w:hAnsi="宋体" w:eastAsia="宋体" w:cs="宋体"/>
                <w:i w:val="0"/>
                <w:iCs w:val="0"/>
                <w:color w:val="000000"/>
                <w:kern w:val="0"/>
                <w:sz w:val="24"/>
                <w:szCs w:val="24"/>
                <w:u w:val="none"/>
                <w:lang w:val="en-US" w:eastAsia="zh-CN" w:bidi="ar"/>
              </w:rPr>
              <w:t>7</w:t>
            </w:r>
          </w:p>
        </w:tc>
        <w:tc>
          <w:tcPr>
            <w:tcW w:w="36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E68A50">
            <w:pPr>
              <w:keepNext w:val="0"/>
              <w:keepLines w:val="0"/>
              <w:widowControl/>
              <w:suppressLineNumbers w:val="0"/>
              <w:jc w:val="left"/>
              <w:textAlignment w:val="center"/>
              <w:rPr>
                <w:rFonts w:ascii="宋体" w:hAnsi="宋体" w:cs="宋体"/>
                <w:color w:val="FF0000"/>
                <w:szCs w:val="21"/>
                <w:highlight w:val="none"/>
              </w:rPr>
            </w:pPr>
            <w:r>
              <w:rPr>
                <w:rFonts w:hint="eastAsia" w:ascii="宋体" w:hAnsi="宋体" w:eastAsia="宋体" w:cs="宋体"/>
                <w:i w:val="0"/>
                <w:iCs w:val="0"/>
                <w:color w:val="000000"/>
                <w:kern w:val="0"/>
                <w:sz w:val="22"/>
                <w:szCs w:val="22"/>
                <w:u w:val="none"/>
                <w:lang w:val="en-US" w:eastAsia="zh-CN" w:bidi="ar"/>
              </w:rPr>
              <w:t>原农业银行老家属楼老旧小区改造项目</w:t>
            </w:r>
          </w:p>
        </w:tc>
        <w:tc>
          <w:tcPr>
            <w:tcW w:w="16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A5E8B3">
            <w:pPr>
              <w:keepNext w:val="0"/>
              <w:keepLines w:val="0"/>
              <w:widowControl/>
              <w:suppressLineNumbers w:val="0"/>
              <w:jc w:val="right"/>
              <w:textAlignment w:val="center"/>
              <w:rPr>
                <w:rFonts w:ascii="宋体" w:hAnsi="宋体" w:cs="宋体"/>
                <w:color w:val="FF0000"/>
                <w:szCs w:val="21"/>
                <w:highlight w:val="none"/>
              </w:rPr>
            </w:pPr>
            <w:r>
              <w:rPr>
                <w:rFonts w:hint="eastAsia" w:ascii="宋体" w:hAnsi="宋体" w:eastAsia="宋体" w:cs="宋体"/>
                <w:i w:val="0"/>
                <w:iCs w:val="0"/>
                <w:color w:val="000000"/>
                <w:kern w:val="0"/>
                <w:sz w:val="22"/>
                <w:szCs w:val="22"/>
                <w:u w:val="none"/>
                <w:lang w:val="en-US" w:eastAsia="zh-CN" w:bidi="ar"/>
              </w:rPr>
              <w:t>647,160.70</w:t>
            </w:r>
          </w:p>
        </w:tc>
        <w:tc>
          <w:tcPr>
            <w:tcW w:w="16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8DFFAB">
            <w:pPr>
              <w:keepNext w:val="0"/>
              <w:keepLines w:val="0"/>
              <w:widowControl/>
              <w:suppressLineNumbers w:val="0"/>
              <w:jc w:val="right"/>
              <w:textAlignment w:val="center"/>
              <w:rPr>
                <w:rFonts w:ascii="宋体" w:hAnsi="宋体" w:cs="宋体"/>
                <w:color w:val="FF0000"/>
                <w:szCs w:val="21"/>
                <w:highlight w:val="none"/>
              </w:rPr>
            </w:pPr>
            <w:r>
              <w:rPr>
                <w:rFonts w:hint="eastAsia" w:ascii="宋体" w:hAnsi="宋体" w:eastAsia="宋体" w:cs="宋体"/>
                <w:i w:val="0"/>
                <w:iCs w:val="0"/>
                <w:color w:val="000000"/>
                <w:kern w:val="0"/>
                <w:sz w:val="22"/>
                <w:szCs w:val="22"/>
                <w:u w:val="none"/>
                <w:lang w:val="en-US" w:eastAsia="zh-CN" w:bidi="ar"/>
              </w:rPr>
              <w:t>647,160.70</w:t>
            </w:r>
          </w:p>
        </w:tc>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8DA8AA">
            <w:pPr>
              <w:keepNext w:val="0"/>
              <w:keepLines w:val="0"/>
              <w:widowControl/>
              <w:suppressLineNumbers w:val="0"/>
              <w:jc w:val="center"/>
              <w:textAlignment w:val="center"/>
              <w:rPr>
                <w:rFonts w:ascii="宋体" w:hAnsi="宋体" w:cs="宋体"/>
                <w:color w:val="FF0000"/>
                <w:szCs w:val="21"/>
                <w:highlight w:val="none"/>
              </w:rPr>
            </w:pPr>
            <w:r>
              <w:rPr>
                <w:rFonts w:hint="eastAsia" w:ascii="宋体" w:hAnsi="宋体" w:eastAsia="宋体" w:cs="宋体"/>
                <w:i w:val="0"/>
                <w:iCs w:val="0"/>
                <w:color w:val="000000"/>
                <w:kern w:val="0"/>
                <w:sz w:val="24"/>
                <w:szCs w:val="24"/>
                <w:u w:val="none"/>
                <w:lang w:val="en-US" w:eastAsia="zh-CN" w:bidi="ar"/>
              </w:rPr>
              <w:t xml:space="preserve">0.00 </w:t>
            </w:r>
          </w:p>
        </w:tc>
        <w:tc>
          <w:tcPr>
            <w:tcW w:w="11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7F8407">
            <w:pPr>
              <w:keepNext w:val="0"/>
              <w:keepLines w:val="0"/>
              <w:widowControl/>
              <w:suppressLineNumbers w:val="0"/>
              <w:jc w:val="center"/>
              <w:textAlignment w:val="center"/>
              <w:rPr>
                <w:rFonts w:ascii="宋体" w:hAnsi="宋体" w:cs="宋体"/>
                <w:color w:val="FF0000"/>
                <w:szCs w:val="21"/>
                <w:highlight w:val="none"/>
              </w:rPr>
            </w:pPr>
            <w:r>
              <w:rPr>
                <w:rFonts w:hint="eastAsia" w:ascii="宋体" w:hAnsi="宋体" w:eastAsia="宋体" w:cs="宋体"/>
                <w:i w:val="0"/>
                <w:iCs w:val="0"/>
                <w:color w:val="000000"/>
                <w:kern w:val="0"/>
                <w:sz w:val="24"/>
                <w:szCs w:val="24"/>
                <w:u w:val="none"/>
                <w:lang w:val="en-US" w:eastAsia="zh-CN" w:bidi="ar"/>
              </w:rPr>
              <w:t>100.00%</w:t>
            </w:r>
          </w:p>
        </w:tc>
      </w:tr>
      <w:tr w14:paraId="08BC6C41">
        <w:tblPrEx>
          <w:tblCellMar>
            <w:top w:w="0" w:type="dxa"/>
            <w:left w:w="0" w:type="dxa"/>
            <w:bottom w:w="0" w:type="dxa"/>
            <w:right w:w="0" w:type="dxa"/>
          </w:tblCellMar>
        </w:tblPrEx>
        <w:trPr>
          <w:trHeight w:val="600" w:hRule="atLeast"/>
        </w:trPr>
        <w:tc>
          <w:tcPr>
            <w:tcW w:w="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CDF1A2">
            <w:pPr>
              <w:keepNext w:val="0"/>
              <w:keepLines w:val="0"/>
              <w:widowControl/>
              <w:suppressLineNumbers w:val="0"/>
              <w:jc w:val="center"/>
              <w:textAlignment w:val="center"/>
              <w:rPr>
                <w:rFonts w:ascii="宋体" w:hAnsi="宋体" w:cs="宋体"/>
                <w:color w:val="FF0000"/>
                <w:szCs w:val="21"/>
                <w:highlight w:val="none"/>
              </w:rPr>
            </w:pPr>
            <w:r>
              <w:rPr>
                <w:rFonts w:hint="eastAsia" w:ascii="宋体" w:hAnsi="宋体" w:eastAsia="宋体" w:cs="宋体"/>
                <w:i w:val="0"/>
                <w:iCs w:val="0"/>
                <w:color w:val="000000"/>
                <w:kern w:val="0"/>
                <w:sz w:val="24"/>
                <w:szCs w:val="24"/>
                <w:u w:val="none"/>
                <w:lang w:val="en-US" w:eastAsia="zh-CN" w:bidi="ar"/>
              </w:rPr>
              <w:t>8</w:t>
            </w:r>
          </w:p>
        </w:tc>
        <w:tc>
          <w:tcPr>
            <w:tcW w:w="36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2968A1">
            <w:pPr>
              <w:keepNext w:val="0"/>
              <w:keepLines w:val="0"/>
              <w:widowControl/>
              <w:suppressLineNumbers w:val="0"/>
              <w:jc w:val="left"/>
              <w:textAlignment w:val="center"/>
              <w:rPr>
                <w:rFonts w:ascii="宋体" w:hAnsi="宋体" w:cs="宋体"/>
                <w:color w:val="FF0000"/>
                <w:sz w:val="10"/>
                <w:szCs w:val="10"/>
                <w:highlight w:val="none"/>
              </w:rPr>
            </w:pPr>
            <w:r>
              <w:rPr>
                <w:rFonts w:hint="eastAsia" w:ascii="宋体" w:hAnsi="宋体" w:eastAsia="宋体" w:cs="宋体"/>
                <w:i w:val="0"/>
                <w:iCs w:val="0"/>
                <w:color w:val="000000"/>
                <w:kern w:val="0"/>
                <w:sz w:val="22"/>
                <w:szCs w:val="22"/>
                <w:u w:val="none"/>
                <w:lang w:val="en-US" w:eastAsia="zh-CN" w:bidi="ar"/>
              </w:rPr>
              <w:t>2023年政府机构改革提前退休干部补贴（颜栋梁）</w:t>
            </w:r>
          </w:p>
        </w:tc>
        <w:tc>
          <w:tcPr>
            <w:tcW w:w="16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25C3B3">
            <w:pPr>
              <w:keepNext w:val="0"/>
              <w:keepLines w:val="0"/>
              <w:widowControl/>
              <w:suppressLineNumbers w:val="0"/>
              <w:jc w:val="right"/>
              <w:textAlignment w:val="center"/>
              <w:rPr>
                <w:rFonts w:ascii="宋体" w:hAnsi="宋体" w:cs="宋体"/>
                <w:color w:val="FF0000"/>
                <w:szCs w:val="21"/>
                <w:highlight w:val="none"/>
              </w:rPr>
            </w:pPr>
            <w:r>
              <w:rPr>
                <w:rFonts w:hint="eastAsia" w:ascii="宋体" w:hAnsi="宋体" w:eastAsia="宋体" w:cs="宋体"/>
                <w:i w:val="0"/>
                <w:iCs w:val="0"/>
                <w:color w:val="000000"/>
                <w:kern w:val="0"/>
                <w:sz w:val="22"/>
                <w:szCs w:val="22"/>
                <w:u w:val="none"/>
                <w:lang w:val="en-US" w:eastAsia="zh-CN" w:bidi="ar"/>
              </w:rPr>
              <w:t>12,000.00</w:t>
            </w:r>
          </w:p>
        </w:tc>
        <w:tc>
          <w:tcPr>
            <w:tcW w:w="16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2FF9DF">
            <w:pPr>
              <w:keepNext w:val="0"/>
              <w:keepLines w:val="0"/>
              <w:widowControl/>
              <w:suppressLineNumbers w:val="0"/>
              <w:jc w:val="right"/>
              <w:textAlignment w:val="center"/>
              <w:rPr>
                <w:rFonts w:ascii="宋体" w:hAnsi="宋体" w:cs="宋体"/>
                <w:color w:val="FF0000"/>
                <w:szCs w:val="21"/>
                <w:highlight w:val="none"/>
              </w:rPr>
            </w:pPr>
            <w:r>
              <w:rPr>
                <w:rFonts w:hint="eastAsia" w:ascii="宋体" w:hAnsi="宋体" w:eastAsia="宋体" w:cs="宋体"/>
                <w:i w:val="0"/>
                <w:iCs w:val="0"/>
                <w:color w:val="000000"/>
                <w:kern w:val="0"/>
                <w:sz w:val="22"/>
                <w:szCs w:val="22"/>
                <w:u w:val="none"/>
                <w:lang w:val="en-US" w:eastAsia="zh-CN" w:bidi="ar"/>
              </w:rPr>
              <w:t>12,000.00</w:t>
            </w:r>
          </w:p>
        </w:tc>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E07F21">
            <w:pPr>
              <w:keepNext w:val="0"/>
              <w:keepLines w:val="0"/>
              <w:widowControl/>
              <w:suppressLineNumbers w:val="0"/>
              <w:jc w:val="center"/>
              <w:textAlignment w:val="center"/>
              <w:rPr>
                <w:rFonts w:ascii="宋体" w:hAnsi="宋体" w:cs="宋体"/>
                <w:color w:val="FF0000"/>
                <w:szCs w:val="21"/>
                <w:highlight w:val="none"/>
              </w:rPr>
            </w:pPr>
            <w:r>
              <w:rPr>
                <w:rFonts w:hint="eastAsia" w:ascii="宋体" w:hAnsi="宋体" w:eastAsia="宋体" w:cs="宋体"/>
                <w:i w:val="0"/>
                <w:iCs w:val="0"/>
                <w:color w:val="000000"/>
                <w:kern w:val="0"/>
                <w:sz w:val="24"/>
                <w:szCs w:val="24"/>
                <w:u w:val="none"/>
                <w:lang w:val="en-US" w:eastAsia="zh-CN" w:bidi="ar"/>
              </w:rPr>
              <w:t xml:space="preserve">0.00 </w:t>
            </w:r>
          </w:p>
        </w:tc>
        <w:tc>
          <w:tcPr>
            <w:tcW w:w="11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D52CD1">
            <w:pPr>
              <w:keepNext w:val="0"/>
              <w:keepLines w:val="0"/>
              <w:widowControl/>
              <w:suppressLineNumbers w:val="0"/>
              <w:jc w:val="center"/>
              <w:textAlignment w:val="center"/>
              <w:rPr>
                <w:rFonts w:ascii="宋体" w:hAnsi="宋体" w:cs="宋体"/>
                <w:color w:val="FF0000"/>
                <w:szCs w:val="21"/>
                <w:highlight w:val="none"/>
              </w:rPr>
            </w:pPr>
            <w:r>
              <w:rPr>
                <w:rFonts w:hint="eastAsia" w:ascii="宋体" w:hAnsi="宋体" w:eastAsia="宋体" w:cs="宋体"/>
                <w:i w:val="0"/>
                <w:iCs w:val="0"/>
                <w:color w:val="000000"/>
                <w:kern w:val="0"/>
                <w:sz w:val="24"/>
                <w:szCs w:val="24"/>
                <w:u w:val="none"/>
                <w:lang w:val="en-US" w:eastAsia="zh-CN" w:bidi="ar"/>
              </w:rPr>
              <w:t>100.00%</w:t>
            </w:r>
          </w:p>
        </w:tc>
      </w:tr>
      <w:tr w14:paraId="06A61631">
        <w:tblPrEx>
          <w:tblCellMar>
            <w:top w:w="0" w:type="dxa"/>
            <w:left w:w="0" w:type="dxa"/>
            <w:bottom w:w="0" w:type="dxa"/>
            <w:right w:w="0" w:type="dxa"/>
          </w:tblCellMar>
        </w:tblPrEx>
        <w:trPr>
          <w:trHeight w:val="600" w:hRule="atLeast"/>
        </w:trPr>
        <w:tc>
          <w:tcPr>
            <w:tcW w:w="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926B5E">
            <w:pPr>
              <w:keepNext w:val="0"/>
              <w:keepLines w:val="0"/>
              <w:widowControl/>
              <w:suppressLineNumbers w:val="0"/>
              <w:jc w:val="center"/>
              <w:textAlignment w:val="center"/>
              <w:rPr>
                <w:rFonts w:ascii="宋体" w:hAnsi="宋体" w:cs="宋体"/>
                <w:color w:val="FF0000"/>
                <w:szCs w:val="21"/>
                <w:highlight w:val="none"/>
              </w:rPr>
            </w:pPr>
            <w:r>
              <w:rPr>
                <w:rFonts w:hint="eastAsia" w:ascii="宋体" w:hAnsi="宋体" w:eastAsia="宋体" w:cs="宋体"/>
                <w:i w:val="0"/>
                <w:iCs w:val="0"/>
                <w:color w:val="000000"/>
                <w:kern w:val="0"/>
                <w:sz w:val="24"/>
                <w:szCs w:val="24"/>
                <w:u w:val="none"/>
                <w:lang w:val="en-US" w:eastAsia="zh-CN" w:bidi="ar"/>
              </w:rPr>
              <w:t>9</w:t>
            </w:r>
          </w:p>
        </w:tc>
        <w:tc>
          <w:tcPr>
            <w:tcW w:w="36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6C0833">
            <w:pPr>
              <w:keepNext w:val="0"/>
              <w:keepLines w:val="0"/>
              <w:widowControl/>
              <w:suppressLineNumbers w:val="0"/>
              <w:jc w:val="left"/>
              <w:textAlignment w:val="center"/>
              <w:rPr>
                <w:rFonts w:ascii="宋体" w:hAnsi="宋体" w:cs="宋体"/>
                <w:color w:val="FF0000"/>
                <w:szCs w:val="21"/>
                <w:highlight w:val="none"/>
              </w:rPr>
            </w:pPr>
            <w:r>
              <w:rPr>
                <w:rFonts w:hint="eastAsia" w:ascii="宋体" w:hAnsi="宋体" w:eastAsia="宋体" w:cs="宋体"/>
                <w:i w:val="0"/>
                <w:iCs w:val="0"/>
                <w:color w:val="000000"/>
                <w:kern w:val="0"/>
                <w:sz w:val="22"/>
                <w:szCs w:val="22"/>
                <w:u w:val="none"/>
                <w:lang w:val="en-US" w:eastAsia="zh-CN" w:bidi="ar"/>
              </w:rPr>
              <w:t>2022年人才生活补贴</w:t>
            </w:r>
          </w:p>
        </w:tc>
        <w:tc>
          <w:tcPr>
            <w:tcW w:w="16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E0FF42">
            <w:pPr>
              <w:keepNext w:val="0"/>
              <w:keepLines w:val="0"/>
              <w:widowControl/>
              <w:suppressLineNumbers w:val="0"/>
              <w:jc w:val="right"/>
              <w:textAlignment w:val="center"/>
              <w:rPr>
                <w:rFonts w:ascii="宋体" w:hAnsi="宋体" w:cs="宋体"/>
                <w:color w:val="FF0000"/>
                <w:szCs w:val="21"/>
                <w:highlight w:val="none"/>
              </w:rPr>
            </w:pPr>
            <w:r>
              <w:rPr>
                <w:rFonts w:hint="eastAsia" w:ascii="宋体" w:hAnsi="宋体" w:eastAsia="宋体" w:cs="宋体"/>
                <w:i w:val="0"/>
                <w:iCs w:val="0"/>
                <w:color w:val="000000"/>
                <w:kern w:val="0"/>
                <w:sz w:val="22"/>
                <w:szCs w:val="22"/>
                <w:u w:val="none"/>
                <w:lang w:val="en-US" w:eastAsia="zh-CN" w:bidi="ar"/>
              </w:rPr>
              <w:t>15,600.00</w:t>
            </w:r>
          </w:p>
        </w:tc>
        <w:tc>
          <w:tcPr>
            <w:tcW w:w="16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1579A5">
            <w:pPr>
              <w:keepNext w:val="0"/>
              <w:keepLines w:val="0"/>
              <w:widowControl/>
              <w:suppressLineNumbers w:val="0"/>
              <w:jc w:val="right"/>
              <w:textAlignment w:val="center"/>
              <w:rPr>
                <w:rFonts w:ascii="宋体" w:hAnsi="宋体" w:cs="宋体"/>
                <w:color w:val="FF0000"/>
                <w:szCs w:val="21"/>
                <w:highlight w:val="none"/>
              </w:rPr>
            </w:pPr>
            <w:r>
              <w:rPr>
                <w:rFonts w:hint="eastAsia" w:ascii="宋体" w:hAnsi="宋体" w:eastAsia="宋体" w:cs="宋体"/>
                <w:i w:val="0"/>
                <w:iCs w:val="0"/>
                <w:color w:val="000000"/>
                <w:kern w:val="0"/>
                <w:sz w:val="22"/>
                <w:szCs w:val="22"/>
                <w:u w:val="none"/>
                <w:lang w:val="en-US" w:eastAsia="zh-CN" w:bidi="ar"/>
              </w:rPr>
              <w:t>15,600.00</w:t>
            </w:r>
          </w:p>
        </w:tc>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22383D">
            <w:pPr>
              <w:keepNext w:val="0"/>
              <w:keepLines w:val="0"/>
              <w:widowControl/>
              <w:suppressLineNumbers w:val="0"/>
              <w:jc w:val="center"/>
              <w:textAlignment w:val="center"/>
              <w:rPr>
                <w:rFonts w:ascii="宋体" w:hAnsi="宋体" w:cs="宋体"/>
                <w:color w:val="FF0000"/>
                <w:szCs w:val="21"/>
                <w:highlight w:val="none"/>
              </w:rPr>
            </w:pPr>
            <w:r>
              <w:rPr>
                <w:rFonts w:hint="eastAsia" w:ascii="宋体" w:hAnsi="宋体" w:eastAsia="宋体" w:cs="宋体"/>
                <w:i w:val="0"/>
                <w:iCs w:val="0"/>
                <w:color w:val="000000"/>
                <w:kern w:val="0"/>
                <w:sz w:val="24"/>
                <w:szCs w:val="24"/>
                <w:u w:val="none"/>
                <w:lang w:val="en-US" w:eastAsia="zh-CN" w:bidi="ar"/>
              </w:rPr>
              <w:t xml:space="preserve">0.00 </w:t>
            </w:r>
          </w:p>
        </w:tc>
        <w:tc>
          <w:tcPr>
            <w:tcW w:w="11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CF5337">
            <w:pPr>
              <w:keepNext w:val="0"/>
              <w:keepLines w:val="0"/>
              <w:widowControl/>
              <w:suppressLineNumbers w:val="0"/>
              <w:jc w:val="center"/>
              <w:textAlignment w:val="center"/>
              <w:rPr>
                <w:rFonts w:ascii="宋体" w:hAnsi="宋体" w:cs="宋体"/>
                <w:color w:val="FF0000"/>
                <w:szCs w:val="21"/>
                <w:highlight w:val="none"/>
              </w:rPr>
            </w:pPr>
            <w:r>
              <w:rPr>
                <w:rFonts w:hint="eastAsia" w:ascii="宋体" w:hAnsi="宋体" w:eastAsia="宋体" w:cs="宋体"/>
                <w:i w:val="0"/>
                <w:iCs w:val="0"/>
                <w:color w:val="000000"/>
                <w:kern w:val="0"/>
                <w:sz w:val="24"/>
                <w:szCs w:val="24"/>
                <w:u w:val="none"/>
                <w:lang w:val="en-US" w:eastAsia="zh-CN" w:bidi="ar"/>
              </w:rPr>
              <w:t>100.00%</w:t>
            </w:r>
          </w:p>
        </w:tc>
      </w:tr>
      <w:tr w14:paraId="59DBFA5F">
        <w:tblPrEx>
          <w:tblCellMar>
            <w:top w:w="0" w:type="dxa"/>
            <w:left w:w="0" w:type="dxa"/>
            <w:bottom w:w="0" w:type="dxa"/>
            <w:right w:w="0" w:type="dxa"/>
          </w:tblCellMar>
        </w:tblPrEx>
        <w:trPr>
          <w:trHeight w:val="483" w:hRule="atLeast"/>
        </w:trPr>
        <w:tc>
          <w:tcPr>
            <w:tcW w:w="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E32814">
            <w:pPr>
              <w:keepNext w:val="0"/>
              <w:keepLines w:val="0"/>
              <w:widowControl/>
              <w:suppressLineNumbers w:val="0"/>
              <w:jc w:val="center"/>
              <w:textAlignment w:val="center"/>
              <w:rPr>
                <w:rFonts w:ascii="宋体" w:hAnsi="宋体" w:cs="宋体"/>
                <w:color w:val="FF0000"/>
                <w:szCs w:val="21"/>
                <w:highlight w:val="none"/>
              </w:rPr>
            </w:pPr>
            <w:r>
              <w:rPr>
                <w:rFonts w:hint="eastAsia" w:ascii="宋体" w:hAnsi="宋体" w:eastAsia="宋体" w:cs="宋体"/>
                <w:i w:val="0"/>
                <w:iCs w:val="0"/>
                <w:color w:val="000000"/>
                <w:kern w:val="0"/>
                <w:sz w:val="24"/>
                <w:szCs w:val="24"/>
                <w:u w:val="none"/>
                <w:lang w:val="en-US" w:eastAsia="zh-CN" w:bidi="ar"/>
              </w:rPr>
              <w:t>10</w:t>
            </w:r>
          </w:p>
        </w:tc>
        <w:tc>
          <w:tcPr>
            <w:tcW w:w="36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AD9BEE">
            <w:pPr>
              <w:keepNext w:val="0"/>
              <w:keepLines w:val="0"/>
              <w:widowControl/>
              <w:suppressLineNumbers w:val="0"/>
              <w:jc w:val="left"/>
              <w:textAlignment w:val="center"/>
              <w:rPr>
                <w:rFonts w:ascii="宋体" w:hAnsi="宋体" w:cs="宋体"/>
                <w:color w:val="FF0000"/>
                <w:szCs w:val="21"/>
                <w:highlight w:val="none"/>
              </w:rPr>
            </w:pPr>
            <w:r>
              <w:rPr>
                <w:rFonts w:hint="eastAsia" w:ascii="宋体" w:hAnsi="宋体" w:eastAsia="宋体" w:cs="宋体"/>
                <w:i w:val="0"/>
                <w:iCs w:val="0"/>
                <w:color w:val="000000"/>
                <w:kern w:val="0"/>
                <w:sz w:val="22"/>
                <w:szCs w:val="22"/>
                <w:u w:val="none"/>
                <w:lang w:val="en-US" w:eastAsia="zh-CN" w:bidi="ar"/>
              </w:rPr>
              <w:t>施工图审查服务费</w:t>
            </w:r>
          </w:p>
        </w:tc>
        <w:tc>
          <w:tcPr>
            <w:tcW w:w="16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D6AFB9">
            <w:pPr>
              <w:keepNext w:val="0"/>
              <w:keepLines w:val="0"/>
              <w:widowControl/>
              <w:suppressLineNumbers w:val="0"/>
              <w:jc w:val="right"/>
              <w:textAlignment w:val="center"/>
              <w:rPr>
                <w:rFonts w:ascii="宋体" w:hAnsi="宋体" w:cs="宋体"/>
                <w:color w:val="FF0000"/>
                <w:szCs w:val="21"/>
                <w:highlight w:val="none"/>
              </w:rPr>
            </w:pPr>
            <w:r>
              <w:rPr>
                <w:rFonts w:hint="eastAsia" w:ascii="宋体" w:hAnsi="宋体" w:eastAsia="宋体" w:cs="宋体"/>
                <w:i w:val="0"/>
                <w:iCs w:val="0"/>
                <w:color w:val="000000"/>
                <w:kern w:val="0"/>
                <w:sz w:val="22"/>
                <w:szCs w:val="22"/>
                <w:u w:val="none"/>
                <w:lang w:val="en-US" w:eastAsia="zh-CN" w:bidi="ar"/>
              </w:rPr>
              <w:t>435,724.00</w:t>
            </w:r>
          </w:p>
        </w:tc>
        <w:tc>
          <w:tcPr>
            <w:tcW w:w="16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6C56D0">
            <w:pPr>
              <w:keepNext w:val="0"/>
              <w:keepLines w:val="0"/>
              <w:widowControl/>
              <w:suppressLineNumbers w:val="0"/>
              <w:jc w:val="right"/>
              <w:textAlignment w:val="center"/>
              <w:rPr>
                <w:rFonts w:ascii="宋体" w:hAnsi="宋体" w:cs="宋体"/>
                <w:color w:val="FF0000"/>
                <w:szCs w:val="21"/>
                <w:highlight w:val="none"/>
              </w:rPr>
            </w:pPr>
            <w:r>
              <w:rPr>
                <w:rFonts w:hint="eastAsia" w:ascii="宋体" w:hAnsi="宋体" w:eastAsia="宋体" w:cs="宋体"/>
                <w:i w:val="0"/>
                <w:iCs w:val="0"/>
                <w:color w:val="000000"/>
                <w:kern w:val="0"/>
                <w:sz w:val="22"/>
                <w:szCs w:val="22"/>
                <w:u w:val="none"/>
                <w:lang w:val="en-US" w:eastAsia="zh-CN" w:bidi="ar"/>
              </w:rPr>
              <w:t>435,724.00</w:t>
            </w:r>
          </w:p>
        </w:tc>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D62208">
            <w:pPr>
              <w:keepNext w:val="0"/>
              <w:keepLines w:val="0"/>
              <w:widowControl/>
              <w:suppressLineNumbers w:val="0"/>
              <w:jc w:val="center"/>
              <w:textAlignment w:val="center"/>
              <w:rPr>
                <w:rFonts w:ascii="宋体" w:hAnsi="宋体" w:cs="宋体"/>
                <w:color w:val="FF0000"/>
                <w:szCs w:val="21"/>
                <w:highlight w:val="none"/>
              </w:rPr>
            </w:pPr>
            <w:r>
              <w:rPr>
                <w:rFonts w:hint="eastAsia" w:ascii="宋体" w:hAnsi="宋体" w:eastAsia="宋体" w:cs="宋体"/>
                <w:i w:val="0"/>
                <w:iCs w:val="0"/>
                <w:color w:val="000000"/>
                <w:kern w:val="0"/>
                <w:sz w:val="24"/>
                <w:szCs w:val="24"/>
                <w:u w:val="none"/>
                <w:lang w:val="en-US" w:eastAsia="zh-CN" w:bidi="ar"/>
              </w:rPr>
              <w:t xml:space="preserve">0.00 </w:t>
            </w:r>
          </w:p>
        </w:tc>
        <w:tc>
          <w:tcPr>
            <w:tcW w:w="11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F5C6A7">
            <w:pPr>
              <w:keepNext w:val="0"/>
              <w:keepLines w:val="0"/>
              <w:widowControl/>
              <w:suppressLineNumbers w:val="0"/>
              <w:jc w:val="center"/>
              <w:textAlignment w:val="center"/>
              <w:rPr>
                <w:rFonts w:ascii="宋体" w:hAnsi="宋体" w:cs="宋体"/>
                <w:color w:val="FF0000"/>
                <w:szCs w:val="21"/>
                <w:highlight w:val="none"/>
              </w:rPr>
            </w:pPr>
            <w:r>
              <w:rPr>
                <w:rFonts w:hint="eastAsia" w:ascii="宋体" w:hAnsi="宋体" w:eastAsia="宋体" w:cs="宋体"/>
                <w:i w:val="0"/>
                <w:iCs w:val="0"/>
                <w:color w:val="000000"/>
                <w:kern w:val="0"/>
                <w:sz w:val="24"/>
                <w:szCs w:val="24"/>
                <w:u w:val="none"/>
                <w:lang w:val="en-US" w:eastAsia="zh-CN" w:bidi="ar"/>
              </w:rPr>
              <w:t>100.00%</w:t>
            </w:r>
          </w:p>
        </w:tc>
      </w:tr>
      <w:tr w14:paraId="2092C9C0">
        <w:tblPrEx>
          <w:tblCellMar>
            <w:top w:w="0" w:type="dxa"/>
            <w:left w:w="0" w:type="dxa"/>
            <w:bottom w:w="0" w:type="dxa"/>
            <w:right w:w="0" w:type="dxa"/>
          </w:tblCellMar>
        </w:tblPrEx>
        <w:trPr>
          <w:trHeight w:val="419" w:hRule="atLeast"/>
        </w:trPr>
        <w:tc>
          <w:tcPr>
            <w:tcW w:w="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355475">
            <w:pPr>
              <w:keepNext w:val="0"/>
              <w:keepLines w:val="0"/>
              <w:widowControl/>
              <w:suppressLineNumbers w:val="0"/>
              <w:jc w:val="center"/>
              <w:textAlignment w:val="center"/>
              <w:rPr>
                <w:rFonts w:ascii="宋体" w:hAnsi="宋体" w:cs="宋体"/>
                <w:color w:val="FF0000"/>
                <w:szCs w:val="21"/>
                <w:highlight w:val="none"/>
              </w:rPr>
            </w:pPr>
            <w:r>
              <w:rPr>
                <w:rFonts w:hint="eastAsia" w:ascii="宋体" w:hAnsi="宋体" w:eastAsia="宋体" w:cs="宋体"/>
                <w:i w:val="0"/>
                <w:iCs w:val="0"/>
                <w:color w:val="000000"/>
                <w:kern w:val="0"/>
                <w:sz w:val="24"/>
                <w:szCs w:val="24"/>
                <w:u w:val="none"/>
                <w:lang w:val="en-US" w:eastAsia="zh-CN" w:bidi="ar"/>
              </w:rPr>
              <w:t>11</w:t>
            </w:r>
          </w:p>
        </w:tc>
        <w:tc>
          <w:tcPr>
            <w:tcW w:w="3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8A0954">
            <w:pPr>
              <w:keepNext w:val="0"/>
              <w:keepLines w:val="0"/>
              <w:widowControl/>
              <w:suppressLineNumbers w:val="0"/>
              <w:jc w:val="left"/>
              <w:textAlignment w:val="center"/>
              <w:rPr>
                <w:rFonts w:ascii="宋体" w:hAnsi="宋体" w:cs="宋体"/>
                <w:color w:val="FF0000"/>
                <w:szCs w:val="21"/>
                <w:highlight w:val="none"/>
              </w:rPr>
            </w:pPr>
            <w:r>
              <w:rPr>
                <w:rFonts w:hint="eastAsia" w:ascii="宋体" w:hAnsi="宋体" w:eastAsia="宋体" w:cs="宋体"/>
                <w:i w:val="0"/>
                <w:iCs w:val="0"/>
                <w:color w:val="000000"/>
                <w:kern w:val="0"/>
                <w:sz w:val="22"/>
                <w:szCs w:val="22"/>
                <w:u w:val="none"/>
                <w:lang w:val="en-US" w:eastAsia="zh-CN" w:bidi="ar"/>
              </w:rPr>
              <w:t>住建局2023年全额事业及机关工勤人员预发绩效奖励</w:t>
            </w:r>
          </w:p>
        </w:tc>
        <w:tc>
          <w:tcPr>
            <w:tcW w:w="16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9E8614">
            <w:pPr>
              <w:keepNext w:val="0"/>
              <w:keepLines w:val="0"/>
              <w:widowControl/>
              <w:suppressLineNumbers w:val="0"/>
              <w:jc w:val="right"/>
              <w:textAlignment w:val="center"/>
              <w:rPr>
                <w:rFonts w:ascii="宋体" w:hAnsi="宋体" w:cs="宋体"/>
                <w:color w:val="FF0000"/>
                <w:szCs w:val="21"/>
                <w:highlight w:val="none"/>
              </w:rPr>
            </w:pPr>
            <w:r>
              <w:rPr>
                <w:rFonts w:hint="eastAsia" w:ascii="宋体" w:hAnsi="宋体" w:eastAsia="宋体" w:cs="宋体"/>
                <w:i w:val="0"/>
                <w:iCs w:val="0"/>
                <w:color w:val="000000"/>
                <w:kern w:val="0"/>
                <w:sz w:val="22"/>
                <w:szCs w:val="22"/>
                <w:u w:val="none"/>
                <w:lang w:val="en-US" w:eastAsia="zh-CN" w:bidi="ar"/>
              </w:rPr>
              <w:t>607,200.00</w:t>
            </w:r>
          </w:p>
        </w:tc>
        <w:tc>
          <w:tcPr>
            <w:tcW w:w="16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B9222C">
            <w:pPr>
              <w:keepNext w:val="0"/>
              <w:keepLines w:val="0"/>
              <w:widowControl/>
              <w:suppressLineNumbers w:val="0"/>
              <w:jc w:val="right"/>
              <w:textAlignment w:val="center"/>
              <w:rPr>
                <w:rFonts w:ascii="宋体" w:hAnsi="宋体" w:cs="宋体"/>
                <w:color w:val="FF0000"/>
                <w:szCs w:val="21"/>
                <w:highlight w:val="none"/>
              </w:rPr>
            </w:pPr>
            <w:r>
              <w:rPr>
                <w:rFonts w:hint="eastAsia" w:ascii="宋体" w:hAnsi="宋体" w:eastAsia="宋体" w:cs="宋体"/>
                <w:i w:val="0"/>
                <w:iCs w:val="0"/>
                <w:color w:val="000000"/>
                <w:kern w:val="0"/>
                <w:sz w:val="22"/>
                <w:szCs w:val="22"/>
                <w:u w:val="none"/>
                <w:lang w:val="en-US" w:eastAsia="zh-CN" w:bidi="ar"/>
              </w:rPr>
              <w:t>607,200.00</w:t>
            </w:r>
          </w:p>
        </w:tc>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F22914">
            <w:pPr>
              <w:keepNext w:val="0"/>
              <w:keepLines w:val="0"/>
              <w:widowControl/>
              <w:suppressLineNumbers w:val="0"/>
              <w:jc w:val="center"/>
              <w:textAlignment w:val="center"/>
              <w:rPr>
                <w:rFonts w:ascii="宋体" w:hAnsi="宋体" w:cs="宋体"/>
                <w:color w:val="FF0000"/>
                <w:szCs w:val="21"/>
                <w:highlight w:val="none"/>
              </w:rPr>
            </w:pPr>
            <w:r>
              <w:rPr>
                <w:rFonts w:hint="eastAsia" w:ascii="宋体" w:hAnsi="宋体" w:eastAsia="宋体" w:cs="宋体"/>
                <w:i w:val="0"/>
                <w:iCs w:val="0"/>
                <w:color w:val="000000"/>
                <w:kern w:val="0"/>
                <w:sz w:val="24"/>
                <w:szCs w:val="24"/>
                <w:u w:val="none"/>
                <w:lang w:val="en-US" w:eastAsia="zh-CN" w:bidi="ar"/>
              </w:rPr>
              <w:t xml:space="preserve">0.00 </w:t>
            </w:r>
          </w:p>
        </w:tc>
        <w:tc>
          <w:tcPr>
            <w:tcW w:w="11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93DD45">
            <w:pPr>
              <w:keepNext w:val="0"/>
              <w:keepLines w:val="0"/>
              <w:widowControl/>
              <w:suppressLineNumbers w:val="0"/>
              <w:jc w:val="center"/>
              <w:textAlignment w:val="center"/>
              <w:rPr>
                <w:rFonts w:ascii="宋体" w:hAnsi="宋体" w:cs="宋体"/>
                <w:color w:val="FF0000"/>
                <w:szCs w:val="21"/>
                <w:highlight w:val="none"/>
              </w:rPr>
            </w:pPr>
            <w:r>
              <w:rPr>
                <w:rFonts w:hint="eastAsia" w:ascii="宋体" w:hAnsi="宋体" w:eastAsia="宋体" w:cs="宋体"/>
                <w:i w:val="0"/>
                <w:iCs w:val="0"/>
                <w:color w:val="000000"/>
                <w:kern w:val="0"/>
                <w:sz w:val="24"/>
                <w:szCs w:val="24"/>
                <w:u w:val="none"/>
                <w:lang w:val="en-US" w:eastAsia="zh-CN" w:bidi="ar"/>
              </w:rPr>
              <w:t>100.00%</w:t>
            </w:r>
          </w:p>
        </w:tc>
      </w:tr>
      <w:tr w14:paraId="571F23A0">
        <w:tblPrEx>
          <w:tblCellMar>
            <w:top w:w="0" w:type="dxa"/>
            <w:left w:w="0" w:type="dxa"/>
            <w:bottom w:w="0" w:type="dxa"/>
            <w:right w:w="0" w:type="dxa"/>
          </w:tblCellMar>
        </w:tblPrEx>
        <w:trPr>
          <w:trHeight w:val="714" w:hRule="atLeast"/>
        </w:trPr>
        <w:tc>
          <w:tcPr>
            <w:tcW w:w="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0388A4">
            <w:pPr>
              <w:keepNext w:val="0"/>
              <w:keepLines w:val="0"/>
              <w:widowControl/>
              <w:suppressLineNumbers w:val="0"/>
              <w:jc w:val="center"/>
              <w:textAlignment w:val="center"/>
              <w:rPr>
                <w:rFonts w:ascii="宋体" w:hAnsi="宋体" w:cs="宋体"/>
                <w:color w:val="FF0000"/>
                <w:szCs w:val="21"/>
                <w:highlight w:val="none"/>
              </w:rPr>
            </w:pPr>
            <w:r>
              <w:rPr>
                <w:rFonts w:hint="eastAsia" w:ascii="宋体" w:hAnsi="宋体" w:eastAsia="宋体" w:cs="宋体"/>
                <w:i w:val="0"/>
                <w:iCs w:val="0"/>
                <w:color w:val="000000"/>
                <w:kern w:val="0"/>
                <w:sz w:val="24"/>
                <w:szCs w:val="24"/>
                <w:u w:val="none"/>
                <w:lang w:val="en-US" w:eastAsia="zh-CN" w:bidi="ar"/>
              </w:rPr>
              <w:t>12</w:t>
            </w:r>
          </w:p>
        </w:tc>
        <w:tc>
          <w:tcPr>
            <w:tcW w:w="3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775B77">
            <w:pPr>
              <w:keepNext w:val="0"/>
              <w:keepLines w:val="0"/>
              <w:widowControl/>
              <w:suppressLineNumbers w:val="0"/>
              <w:jc w:val="left"/>
              <w:textAlignment w:val="center"/>
              <w:rPr>
                <w:rFonts w:ascii="宋体" w:hAnsi="宋体" w:cs="宋体"/>
                <w:color w:val="FF0000"/>
                <w:szCs w:val="21"/>
                <w:highlight w:val="none"/>
              </w:rPr>
            </w:pPr>
            <w:r>
              <w:rPr>
                <w:rFonts w:hint="eastAsia" w:ascii="宋体" w:hAnsi="宋体" w:eastAsia="宋体" w:cs="宋体"/>
                <w:i w:val="0"/>
                <w:iCs w:val="0"/>
                <w:color w:val="000000"/>
                <w:kern w:val="0"/>
                <w:sz w:val="22"/>
                <w:szCs w:val="22"/>
                <w:u w:val="none"/>
                <w:lang w:val="en-US" w:eastAsia="zh-CN" w:bidi="ar"/>
              </w:rPr>
              <w:t>污水处理运行服务费</w:t>
            </w:r>
          </w:p>
        </w:tc>
        <w:tc>
          <w:tcPr>
            <w:tcW w:w="16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87B6A5">
            <w:pPr>
              <w:keepNext w:val="0"/>
              <w:keepLines w:val="0"/>
              <w:widowControl/>
              <w:suppressLineNumbers w:val="0"/>
              <w:jc w:val="right"/>
              <w:textAlignment w:val="center"/>
              <w:rPr>
                <w:rFonts w:ascii="宋体" w:hAnsi="宋体" w:cs="宋体"/>
                <w:color w:val="FF0000"/>
                <w:szCs w:val="21"/>
                <w:highlight w:val="none"/>
              </w:rPr>
            </w:pPr>
            <w:r>
              <w:rPr>
                <w:rFonts w:hint="eastAsia" w:ascii="宋体" w:hAnsi="宋体" w:eastAsia="宋体" w:cs="宋体"/>
                <w:i w:val="0"/>
                <w:iCs w:val="0"/>
                <w:color w:val="000000"/>
                <w:kern w:val="0"/>
                <w:sz w:val="22"/>
                <w:szCs w:val="22"/>
                <w:u w:val="none"/>
                <w:lang w:val="en-US" w:eastAsia="zh-CN" w:bidi="ar"/>
              </w:rPr>
              <w:t>7,000,000.00</w:t>
            </w:r>
          </w:p>
        </w:tc>
        <w:tc>
          <w:tcPr>
            <w:tcW w:w="16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0FEC0E">
            <w:pPr>
              <w:keepNext w:val="0"/>
              <w:keepLines w:val="0"/>
              <w:widowControl/>
              <w:suppressLineNumbers w:val="0"/>
              <w:jc w:val="right"/>
              <w:textAlignment w:val="center"/>
              <w:rPr>
                <w:rFonts w:ascii="宋体" w:hAnsi="宋体" w:cs="宋体"/>
                <w:color w:val="FF0000"/>
                <w:szCs w:val="21"/>
                <w:highlight w:val="none"/>
              </w:rPr>
            </w:pPr>
            <w:r>
              <w:rPr>
                <w:rFonts w:hint="eastAsia" w:ascii="宋体" w:hAnsi="宋体" w:eastAsia="宋体" w:cs="宋体"/>
                <w:i w:val="0"/>
                <w:iCs w:val="0"/>
                <w:color w:val="000000"/>
                <w:kern w:val="0"/>
                <w:sz w:val="22"/>
                <w:szCs w:val="22"/>
                <w:u w:val="none"/>
                <w:lang w:val="en-US" w:eastAsia="zh-CN" w:bidi="ar"/>
              </w:rPr>
              <w:t>7,000,000.00</w:t>
            </w:r>
          </w:p>
        </w:tc>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F8106B">
            <w:pPr>
              <w:keepNext w:val="0"/>
              <w:keepLines w:val="0"/>
              <w:widowControl/>
              <w:suppressLineNumbers w:val="0"/>
              <w:jc w:val="center"/>
              <w:textAlignment w:val="center"/>
              <w:rPr>
                <w:rFonts w:ascii="宋体" w:hAnsi="宋体" w:cs="宋体"/>
                <w:color w:val="FF0000"/>
                <w:szCs w:val="21"/>
                <w:highlight w:val="none"/>
              </w:rPr>
            </w:pPr>
            <w:r>
              <w:rPr>
                <w:rFonts w:hint="eastAsia" w:ascii="宋体" w:hAnsi="宋体" w:eastAsia="宋体" w:cs="宋体"/>
                <w:i w:val="0"/>
                <w:iCs w:val="0"/>
                <w:color w:val="000000"/>
                <w:kern w:val="0"/>
                <w:sz w:val="24"/>
                <w:szCs w:val="24"/>
                <w:u w:val="none"/>
                <w:lang w:val="en-US" w:eastAsia="zh-CN" w:bidi="ar"/>
              </w:rPr>
              <w:t xml:space="preserve">0.00 </w:t>
            </w:r>
          </w:p>
        </w:tc>
        <w:tc>
          <w:tcPr>
            <w:tcW w:w="11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D10AA1">
            <w:pPr>
              <w:keepNext w:val="0"/>
              <w:keepLines w:val="0"/>
              <w:widowControl/>
              <w:suppressLineNumbers w:val="0"/>
              <w:jc w:val="center"/>
              <w:textAlignment w:val="center"/>
              <w:rPr>
                <w:rFonts w:ascii="宋体" w:hAnsi="宋体" w:cs="宋体"/>
                <w:color w:val="FF0000"/>
                <w:szCs w:val="21"/>
                <w:highlight w:val="none"/>
              </w:rPr>
            </w:pPr>
            <w:r>
              <w:rPr>
                <w:rFonts w:hint="eastAsia" w:ascii="宋体" w:hAnsi="宋体" w:eastAsia="宋体" w:cs="宋体"/>
                <w:i w:val="0"/>
                <w:iCs w:val="0"/>
                <w:color w:val="000000"/>
                <w:kern w:val="0"/>
                <w:sz w:val="24"/>
                <w:szCs w:val="24"/>
                <w:u w:val="none"/>
                <w:lang w:val="en-US" w:eastAsia="zh-CN" w:bidi="ar"/>
              </w:rPr>
              <w:t>100.00%</w:t>
            </w:r>
          </w:p>
        </w:tc>
      </w:tr>
      <w:tr w14:paraId="2AB88B91">
        <w:tblPrEx>
          <w:tblCellMar>
            <w:top w:w="0" w:type="dxa"/>
            <w:left w:w="0" w:type="dxa"/>
            <w:bottom w:w="0" w:type="dxa"/>
            <w:right w:w="0" w:type="dxa"/>
          </w:tblCellMar>
        </w:tblPrEx>
        <w:trPr>
          <w:trHeight w:val="443" w:hRule="atLeast"/>
        </w:trPr>
        <w:tc>
          <w:tcPr>
            <w:tcW w:w="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7604B4">
            <w:pPr>
              <w:keepNext w:val="0"/>
              <w:keepLines w:val="0"/>
              <w:widowControl/>
              <w:suppressLineNumbers w:val="0"/>
              <w:jc w:val="center"/>
              <w:textAlignment w:val="center"/>
              <w:rPr>
                <w:rFonts w:ascii="宋体" w:hAnsi="宋体" w:cs="宋体"/>
                <w:color w:val="FF0000"/>
                <w:szCs w:val="21"/>
                <w:highlight w:val="none"/>
              </w:rPr>
            </w:pPr>
            <w:r>
              <w:rPr>
                <w:rFonts w:hint="eastAsia" w:ascii="宋体" w:hAnsi="宋体" w:eastAsia="宋体" w:cs="宋体"/>
                <w:i w:val="0"/>
                <w:iCs w:val="0"/>
                <w:color w:val="000000"/>
                <w:kern w:val="0"/>
                <w:sz w:val="24"/>
                <w:szCs w:val="24"/>
                <w:u w:val="none"/>
                <w:lang w:val="en-US" w:eastAsia="zh-CN" w:bidi="ar"/>
              </w:rPr>
              <w:t>13</w:t>
            </w:r>
          </w:p>
        </w:tc>
        <w:tc>
          <w:tcPr>
            <w:tcW w:w="3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D01EA4">
            <w:pPr>
              <w:keepNext w:val="0"/>
              <w:keepLines w:val="0"/>
              <w:widowControl/>
              <w:suppressLineNumbers w:val="0"/>
              <w:jc w:val="left"/>
              <w:textAlignment w:val="center"/>
              <w:rPr>
                <w:rFonts w:ascii="宋体" w:hAnsi="宋体" w:cs="宋体"/>
                <w:color w:val="FF0000"/>
                <w:szCs w:val="21"/>
                <w:highlight w:val="none"/>
              </w:rPr>
            </w:pPr>
            <w:r>
              <w:rPr>
                <w:rFonts w:hint="eastAsia" w:ascii="宋体" w:hAnsi="宋体" w:eastAsia="宋体" w:cs="宋体"/>
                <w:i w:val="0"/>
                <w:iCs w:val="0"/>
                <w:color w:val="000000"/>
                <w:kern w:val="0"/>
                <w:sz w:val="22"/>
                <w:szCs w:val="22"/>
                <w:u w:val="none"/>
                <w:lang w:val="en-US" w:eastAsia="zh-CN" w:bidi="ar"/>
              </w:rPr>
              <w:t>2023年半年度非税收入体制预结算</w:t>
            </w:r>
          </w:p>
        </w:tc>
        <w:tc>
          <w:tcPr>
            <w:tcW w:w="16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C39687">
            <w:pPr>
              <w:keepNext w:val="0"/>
              <w:keepLines w:val="0"/>
              <w:widowControl/>
              <w:suppressLineNumbers w:val="0"/>
              <w:jc w:val="right"/>
              <w:textAlignment w:val="center"/>
              <w:rPr>
                <w:rFonts w:ascii="宋体" w:hAnsi="宋体" w:cs="宋体"/>
                <w:color w:val="FF0000"/>
                <w:szCs w:val="21"/>
                <w:highlight w:val="none"/>
              </w:rPr>
            </w:pPr>
            <w:r>
              <w:rPr>
                <w:rFonts w:hint="eastAsia" w:ascii="宋体" w:hAnsi="宋体" w:eastAsia="宋体" w:cs="宋体"/>
                <w:i w:val="0"/>
                <w:iCs w:val="0"/>
                <w:color w:val="000000"/>
                <w:kern w:val="0"/>
                <w:sz w:val="22"/>
                <w:szCs w:val="22"/>
                <w:u w:val="none"/>
                <w:lang w:val="en-US" w:eastAsia="zh-CN" w:bidi="ar"/>
              </w:rPr>
              <w:t>80,100.00</w:t>
            </w:r>
          </w:p>
        </w:tc>
        <w:tc>
          <w:tcPr>
            <w:tcW w:w="16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636709">
            <w:pPr>
              <w:keepNext w:val="0"/>
              <w:keepLines w:val="0"/>
              <w:widowControl/>
              <w:suppressLineNumbers w:val="0"/>
              <w:jc w:val="right"/>
              <w:textAlignment w:val="center"/>
              <w:rPr>
                <w:rFonts w:ascii="宋体" w:hAnsi="宋体" w:cs="宋体"/>
                <w:color w:val="FF0000"/>
                <w:szCs w:val="21"/>
                <w:highlight w:val="none"/>
              </w:rPr>
            </w:pPr>
            <w:r>
              <w:rPr>
                <w:rFonts w:hint="eastAsia" w:ascii="宋体" w:hAnsi="宋体" w:eastAsia="宋体" w:cs="宋体"/>
                <w:i w:val="0"/>
                <w:iCs w:val="0"/>
                <w:color w:val="000000"/>
                <w:kern w:val="0"/>
                <w:sz w:val="22"/>
                <w:szCs w:val="22"/>
                <w:u w:val="none"/>
                <w:lang w:val="en-US" w:eastAsia="zh-CN" w:bidi="ar"/>
              </w:rPr>
              <w:t>80,100.00</w:t>
            </w:r>
          </w:p>
        </w:tc>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F026C9">
            <w:pPr>
              <w:keepNext w:val="0"/>
              <w:keepLines w:val="0"/>
              <w:widowControl/>
              <w:suppressLineNumbers w:val="0"/>
              <w:jc w:val="center"/>
              <w:textAlignment w:val="center"/>
              <w:rPr>
                <w:rFonts w:ascii="宋体" w:hAnsi="宋体" w:cs="宋体"/>
                <w:color w:val="FF0000"/>
                <w:szCs w:val="21"/>
                <w:highlight w:val="none"/>
              </w:rPr>
            </w:pPr>
            <w:r>
              <w:rPr>
                <w:rFonts w:hint="eastAsia" w:ascii="宋体" w:hAnsi="宋体" w:eastAsia="宋体" w:cs="宋体"/>
                <w:i w:val="0"/>
                <w:iCs w:val="0"/>
                <w:color w:val="000000"/>
                <w:kern w:val="0"/>
                <w:sz w:val="24"/>
                <w:szCs w:val="24"/>
                <w:u w:val="none"/>
                <w:lang w:val="en-US" w:eastAsia="zh-CN" w:bidi="ar"/>
              </w:rPr>
              <w:t xml:space="preserve">0.00 </w:t>
            </w:r>
          </w:p>
        </w:tc>
        <w:tc>
          <w:tcPr>
            <w:tcW w:w="11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BD6819">
            <w:pPr>
              <w:keepNext w:val="0"/>
              <w:keepLines w:val="0"/>
              <w:widowControl/>
              <w:suppressLineNumbers w:val="0"/>
              <w:jc w:val="center"/>
              <w:textAlignment w:val="center"/>
              <w:rPr>
                <w:rFonts w:ascii="宋体" w:hAnsi="宋体" w:cs="宋体"/>
                <w:color w:val="FF0000"/>
                <w:szCs w:val="21"/>
                <w:highlight w:val="none"/>
              </w:rPr>
            </w:pPr>
            <w:r>
              <w:rPr>
                <w:rFonts w:hint="eastAsia" w:ascii="宋体" w:hAnsi="宋体" w:eastAsia="宋体" w:cs="宋体"/>
                <w:i w:val="0"/>
                <w:iCs w:val="0"/>
                <w:color w:val="000000"/>
                <w:kern w:val="0"/>
                <w:sz w:val="24"/>
                <w:szCs w:val="24"/>
                <w:u w:val="none"/>
                <w:lang w:val="en-US" w:eastAsia="zh-CN" w:bidi="ar"/>
              </w:rPr>
              <w:t>100.00%</w:t>
            </w:r>
          </w:p>
        </w:tc>
      </w:tr>
      <w:tr w14:paraId="5AC56ECD">
        <w:tblPrEx>
          <w:tblCellMar>
            <w:top w:w="0" w:type="dxa"/>
            <w:left w:w="0" w:type="dxa"/>
            <w:bottom w:w="0" w:type="dxa"/>
            <w:right w:w="0" w:type="dxa"/>
          </w:tblCellMar>
        </w:tblPrEx>
        <w:trPr>
          <w:trHeight w:val="750" w:hRule="atLeast"/>
        </w:trPr>
        <w:tc>
          <w:tcPr>
            <w:tcW w:w="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4A518F">
            <w:pPr>
              <w:keepNext w:val="0"/>
              <w:keepLines w:val="0"/>
              <w:widowControl/>
              <w:suppressLineNumbers w:val="0"/>
              <w:jc w:val="center"/>
              <w:textAlignment w:val="center"/>
              <w:rPr>
                <w:rFonts w:ascii="宋体" w:hAnsi="宋体" w:cs="宋体"/>
                <w:color w:val="FF0000"/>
                <w:szCs w:val="21"/>
                <w:highlight w:val="none"/>
              </w:rPr>
            </w:pPr>
            <w:r>
              <w:rPr>
                <w:rFonts w:hint="eastAsia" w:ascii="宋体" w:hAnsi="宋体" w:eastAsia="宋体" w:cs="宋体"/>
                <w:i w:val="0"/>
                <w:iCs w:val="0"/>
                <w:color w:val="000000"/>
                <w:kern w:val="0"/>
                <w:sz w:val="24"/>
                <w:szCs w:val="24"/>
                <w:u w:val="none"/>
                <w:lang w:val="en-US" w:eastAsia="zh-CN" w:bidi="ar"/>
              </w:rPr>
              <w:t>14</w:t>
            </w:r>
          </w:p>
        </w:tc>
        <w:tc>
          <w:tcPr>
            <w:tcW w:w="3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BEABE9">
            <w:pPr>
              <w:keepNext w:val="0"/>
              <w:keepLines w:val="0"/>
              <w:widowControl/>
              <w:suppressLineNumbers w:val="0"/>
              <w:jc w:val="left"/>
              <w:textAlignment w:val="center"/>
              <w:rPr>
                <w:rFonts w:ascii="宋体" w:hAnsi="宋体" w:cs="宋体"/>
                <w:color w:val="FF0000"/>
                <w:szCs w:val="21"/>
                <w:highlight w:val="none"/>
              </w:rPr>
            </w:pPr>
            <w:r>
              <w:rPr>
                <w:rFonts w:hint="eastAsia" w:ascii="宋体" w:hAnsi="宋体" w:eastAsia="宋体" w:cs="宋体"/>
                <w:i w:val="0"/>
                <w:iCs w:val="0"/>
                <w:color w:val="000000"/>
                <w:kern w:val="0"/>
                <w:sz w:val="22"/>
                <w:szCs w:val="22"/>
                <w:u w:val="none"/>
                <w:lang w:val="en-US" w:eastAsia="zh-CN" w:bidi="ar"/>
              </w:rPr>
              <w:t>2023年新增人员公务费预算追加</w:t>
            </w:r>
          </w:p>
        </w:tc>
        <w:tc>
          <w:tcPr>
            <w:tcW w:w="16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0A7AB8">
            <w:pPr>
              <w:keepNext w:val="0"/>
              <w:keepLines w:val="0"/>
              <w:widowControl/>
              <w:suppressLineNumbers w:val="0"/>
              <w:jc w:val="right"/>
              <w:textAlignment w:val="center"/>
              <w:rPr>
                <w:rFonts w:ascii="宋体" w:hAnsi="宋体" w:cs="宋体"/>
                <w:color w:val="FF0000"/>
                <w:szCs w:val="21"/>
                <w:highlight w:val="none"/>
              </w:rPr>
            </w:pPr>
            <w:r>
              <w:rPr>
                <w:rFonts w:hint="eastAsia" w:ascii="宋体" w:hAnsi="宋体" w:eastAsia="宋体" w:cs="宋体"/>
                <w:i w:val="0"/>
                <w:iCs w:val="0"/>
                <w:color w:val="000000"/>
                <w:kern w:val="0"/>
                <w:sz w:val="22"/>
                <w:szCs w:val="22"/>
                <w:u w:val="none"/>
                <w:lang w:val="en-US" w:eastAsia="zh-CN" w:bidi="ar"/>
              </w:rPr>
              <w:t>42,200.00</w:t>
            </w:r>
          </w:p>
        </w:tc>
        <w:tc>
          <w:tcPr>
            <w:tcW w:w="16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FF972E">
            <w:pPr>
              <w:keepNext w:val="0"/>
              <w:keepLines w:val="0"/>
              <w:widowControl/>
              <w:suppressLineNumbers w:val="0"/>
              <w:jc w:val="right"/>
              <w:textAlignment w:val="center"/>
              <w:rPr>
                <w:rFonts w:ascii="宋体" w:hAnsi="宋体" w:cs="宋体"/>
                <w:color w:val="FF0000"/>
                <w:szCs w:val="21"/>
                <w:highlight w:val="none"/>
              </w:rPr>
            </w:pPr>
            <w:r>
              <w:rPr>
                <w:rFonts w:hint="eastAsia" w:ascii="宋体" w:hAnsi="宋体" w:eastAsia="宋体" w:cs="宋体"/>
                <w:i w:val="0"/>
                <w:iCs w:val="0"/>
                <w:color w:val="000000"/>
                <w:kern w:val="0"/>
                <w:sz w:val="22"/>
                <w:szCs w:val="22"/>
                <w:u w:val="none"/>
                <w:lang w:val="en-US" w:eastAsia="zh-CN" w:bidi="ar"/>
              </w:rPr>
              <w:t>42,200.00</w:t>
            </w:r>
          </w:p>
        </w:tc>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88E152">
            <w:pPr>
              <w:keepNext w:val="0"/>
              <w:keepLines w:val="0"/>
              <w:widowControl/>
              <w:suppressLineNumbers w:val="0"/>
              <w:jc w:val="center"/>
              <w:textAlignment w:val="center"/>
              <w:rPr>
                <w:rFonts w:ascii="宋体" w:hAnsi="宋体" w:cs="宋体"/>
                <w:color w:val="FF0000"/>
                <w:szCs w:val="21"/>
                <w:highlight w:val="none"/>
              </w:rPr>
            </w:pPr>
            <w:r>
              <w:rPr>
                <w:rFonts w:hint="eastAsia" w:ascii="宋体" w:hAnsi="宋体" w:eastAsia="宋体" w:cs="宋体"/>
                <w:i w:val="0"/>
                <w:iCs w:val="0"/>
                <w:color w:val="000000"/>
                <w:kern w:val="0"/>
                <w:sz w:val="24"/>
                <w:szCs w:val="24"/>
                <w:u w:val="none"/>
                <w:lang w:val="en-US" w:eastAsia="zh-CN" w:bidi="ar"/>
              </w:rPr>
              <w:t xml:space="preserve">0.00 </w:t>
            </w:r>
          </w:p>
        </w:tc>
        <w:tc>
          <w:tcPr>
            <w:tcW w:w="11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DB6973">
            <w:pPr>
              <w:keepNext w:val="0"/>
              <w:keepLines w:val="0"/>
              <w:widowControl/>
              <w:suppressLineNumbers w:val="0"/>
              <w:jc w:val="center"/>
              <w:textAlignment w:val="center"/>
              <w:rPr>
                <w:rFonts w:ascii="宋体" w:hAnsi="宋体" w:cs="宋体"/>
                <w:color w:val="FF0000"/>
                <w:szCs w:val="21"/>
                <w:highlight w:val="none"/>
              </w:rPr>
            </w:pPr>
            <w:r>
              <w:rPr>
                <w:rFonts w:hint="eastAsia" w:ascii="宋体" w:hAnsi="宋体" w:eastAsia="宋体" w:cs="宋体"/>
                <w:i w:val="0"/>
                <w:iCs w:val="0"/>
                <w:color w:val="000000"/>
                <w:kern w:val="0"/>
                <w:sz w:val="24"/>
                <w:szCs w:val="24"/>
                <w:u w:val="none"/>
                <w:lang w:val="en-US" w:eastAsia="zh-CN" w:bidi="ar"/>
              </w:rPr>
              <w:t>100.00%</w:t>
            </w:r>
          </w:p>
        </w:tc>
      </w:tr>
      <w:tr w14:paraId="0D4E5BE0">
        <w:tblPrEx>
          <w:tblCellMar>
            <w:top w:w="0" w:type="dxa"/>
            <w:left w:w="0" w:type="dxa"/>
            <w:bottom w:w="0" w:type="dxa"/>
            <w:right w:w="0" w:type="dxa"/>
          </w:tblCellMar>
        </w:tblPrEx>
        <w:trPr>
          <w:trHeight w:val="510" w:hRule="atLeast"/>
        </w:trPr>
        <w:tc>
          <w:tcPr>
            <w:tcW w:w="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39A0B6">
            <w:pPr>
              <w:keepNext w:val="0"/>
              <w:keepLines w:val="0"/>
              <w:widowControl/>
              <w:suppressLineNumbers w:val="0"/>
              <w:jc w:val="center"/>
              <w:textAlignment w:val="center"/>
              <w:rPr>
                <w:rFonts w:ascii="宋体" w:hAnsi="宋体" w:cs="宋体"/>
                <w:color w:val="FF0000"/>
                <w:szCs w:val="21"/>
                <w:highlight w:val="none"/>
              </w:rPr>
            </w:pPr>
            <w:r>
              <w:rPr>
                <w:rFonts w:hint="eastAsia" w:ascii="宋体" w:hAnsi="宋体" w:eastAsia="宋体" w:cs="宋体"/>
                <w:i w:val="0"/>
                <w:iCs w:val="0"/>
                <w:color w:val="000000"/>
                <w:kern w:val="0"/>
                <w:sz w:val="24"/>
                <w:szCs w:val="24"/>
                <w:u w:val="none"/>
                <w:lang w:val="en-US" w:eastAsia="zh-CN" w:bidi="ar"/>
              </w:rPr>
              <w:t>15</w:t>
            </w:r>
          </w:p>
        </w:tc>
        <w:tc>
          <w:tcPr>
            <w:tcW w:w="3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23EEE4">
            <w:pPr>
              <w:keepNext w:val="0"/>
              <w:keepLines w:val="0"/>
              <w:widowControl/>
              <w:suppressLineNumbers w:val="0"/>
              <w:jc w:val="left"/>
              <w:textAlignment w:val="center"/>
              <w:rPr>
                <w:rFonts w:ascii="宋体" w:hAnsi="宋体" w:cs="宋体"/>
                <w:color w:val="FF0000"/>
                <w:szCs w:val="21"/>
                <w:highlight w:val="none"/>
              </w:rPr>
            </w:pPr>
            <w:r>
              <w:rPr>
                <w:rFonts w:hint="eastAsia" w:ascii="宋体" w:hAnsi="宋体" w:eastAsia="宋体" w:cs="宋体"/>
                <w:i w:val="0"/>
                <w:iCs w:val="0"/>
                <w:color w:val="000000"/>
                <w:kern w:val="0"/>
                <w:sz w:val="22"/>
                <w:szCs w:val="22"/>
                <w:u w:val="none"/>
                <w:lang w:val="en-US" w:eastAsia="zh-CN" w:bidi="ar"/>
              </w:rPr>
              <w:t>烟草公司家属楼老旧小区改造项目</w:t>
            </w:r>
          </w:p>
        </w:tc>
        <w:tc>
          <w:tcPr>
            <w:tcW w:w="16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AA1837">
            <w:pPr>
              <w:keepNext w:val="0"/>
              <w:keepLines w:val="0"/>
              <w:widowControl/>
              <w:suppressLineNumbers w:val="0"/>
              <w:jc w:val="right"/>
              <w:textAlignment w:val="center"/>
              <w:rPr>
                <w:rFonts w:ascii="宋体" w:hAnsi="宋体" w:cs="宋体"/>
                <w:color w:val="FF0000"/>
                <w:szCs w:val="21"/>
                <w:highlight w:val="none"/>
              </w:rPr>
            </w:pPr>
            <w:r>
              <w:rPr>
                <w:rFonts w:hint="eastAsia" w:ascii="宋体" w:hAnsi="宋体" w:eastAsia="宋体" w:cs="宋体"/>
                <w:i w:val="0"/>
                <w:iCs w:val="0"/>
                <w:color w:val="000000"/>
                <w:kern w:val="0"/>
                <w:sz w:val="22"/>
                <w:szCs w:val="22"/>
                <w:u w:val="none"/>
                <w:lang w:val="en-US" w:eastAsia="zh-CN" w:bidi="ar"/>
              </w:rPr>
              <w:t>1,676,488.65</w:t>
            </w:r>
          </w:p>
        </w:tc>
        <w:tc>
          <w:tcPr>
            <w:tcW w:w="16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0E9C18">
            <w:pPr>
              <w:keepNext w:val="0"/>
              <w:keepLines w:val="0"/>
              <w:widowControl/>
              <w:suppressLineNumbers w:val="0"/>
              <w:jc w:val="right"/>
              <w:textAlignment w:val="center"/>
              <w:rPr>
                <w:rFonts w:ascii="宋体" w:hAnsi="宋体" w:cs="宋体"/>
                <w:color w:val="FF0000"/>
                <w:szCs w:val="21"/>
                <w:highlight w:val="none"/>
              </w:rPr>
            </w:pPr>
            <w:r>
              <w:rPr>
                <w:rFonts w:hint="eastAsia" w:ascii="宋体" w:hAnsi="宋体" w:eastAsia="宋体" w:cs="宋体"/>
                <w:i w:val="0"/>
                <w:iCs w:val="0"/>
                <w:color w:val="000000"/>
                <w:kern w:val="0"/>
                <w:sz w:val="22"/>
                <w:szCs w:val="22"/>
                <w:u w:val="none"/>
                <w:lang w:val="en-US" w:eastAsia="zh-CN" w:bidi="ar"/>
              </w:rPr>
              <w:t>1,676,488.65</w:t>
            </w:r>
          </w:p>
        </w:tc>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691DFF">
            <w:pPr>
              <w:keepNext w:val="0"/>
              <w:keepLines w:val="0"/>
              <w:widowControl/>
              <w:suppressLineNumbers w:val="0"/>
              <w:jc w:val="center"/>
              <w:textAlignment w:val="center"/>
              <w:rPr>
                <w:rFonts w:ascii="宋体" w:hAnsi="宋体" w:cs="宋体"/>
                <w:color w:val="FF0000"/>
                <w:szCs w:val="21"/>
                <w:highlight w:val="none"/>
              </w:rPr>
            </w:pPr>
            <w:r>
              <w:rPr>
                <w:rFonts w:hint="eastAsia" w:ascii="宋体" w:hAnsi="宋体" w:eastAsia="宋体" w:cs="宋体"/>
                <w:i w:val="0"/>
                <w:iCs w:val="0"/>
                <w:color w:val="000000"/>
                <w:kern w:val="0"/>
                <w:sz w:val="24"/>
                <w:szCs w:val="24"/>
                <w:u w:val="none"/>
                <w:lang w:val="en-US" w:eastAsia="zh-CN" w:bidi="ar"/>
              </w:rPr>
              <w:t xml:space="preserve">0.00 </w:t>
            </w:r>
          </w:p>
        </w:tc>
        <w:tc>
          <w:tcPr>
            <w:tcW w:w="11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7E8130">
            <w:pPr>
              <w:keepNext w:val="0"/>
              <w:keepLines w:val="0"/>
              <w:widowControl/>
              <w:suppressLineNumbers w:val="0"/>
              <w:jc w:val="center"/>
              <w:textAlignment w:val="center"/>
              <w:rPr>
                <w:rFonts w:ascii="宋体" w:hAnsi="宋体" w:cs="宋体"/>
                <w:color w:val="FF0000"/>
                <w:szCs w:val="21"/>
                <w:highlight w:val="none"/>
              </w:rPr>
            </w:pPr>
            <w:r>
              <w:rPr>
                <w:rFonts w:hint="eastAsia" w:ascii="宋体" w:hAnsi="宋体" w:eastAsia="宋体" w:cs="宋体"/>
                <w:i w:val="0"/>
                <w:iCs w:val="0"/>
                <w:color w:val="000000"/>
                <w:kern w:val="0"/>
                <w:sz w:val="24"/>
                <w:szCs w:val="24"/>
                <w:u w:val="none"/>
                <w:lang w:val="en-US" w:eastAsia="zh-CN" w:bidi="ar"/>
              </w:rPr>
              <w:t>100.00%</w:t>
            </w:r>
          </w:p>
        </w:tc>
      </w:tr>
      <w:tr w14:paraId="741EF9F8">
        <w:tblPrEx>
          <w:tblCellMar>
            <w:top w:w="0" w:type="dxa"/>
            <w:left w:w="0" w:type="dxa"/>
            <w:bottom w:w="0" w:type="dxa"/>
            <w:right w:w="0" w:type="dxa"/>
          </w:tblCellMar>
        </w:tblPrEx>
        <w:trPr>
          <w:trHeight w:val="285" w:hRule="atLeast"/>
        </w:trPr>
        <w:tc>
          <w:tcPr>
            <w:tcW w:w="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99C2EF">
            <w:pPr>
              <w:keepNext w:val="0"/>
              <w:keepLines w:val="0"/>
              <w:widowControl/>
              <w:suppressLineNumbers w:val="0"/>
              <w:jc w:val="center"/>
              <w:textAlignment w:val="center"/>
              <w:rPr>
                <w:rFonts w:ascii="宋体" w:hAnsi="宋体" w:cs="宋体"/>
                <w:color w:val="FF0000"/>
                <w:szCs w:val="21"/>
                <w:highlight w:val="none"/>
              </w:rPr>
            </w:pPr>
            <w:r>
              <w:rPr>
                <w:rFonts w:hint="eastAsia" w:ascii="宋体" w:hAnsi="宋体" w:eastAsia="宋体" w:cs="宋体"/>
                <w:i w:val="0"/>
                <w:iCs w:val="0"/>
                <w:color w:val="000000"/>
                <w:kern w:val="0"/>
                <w:sz w:val="24"/>
                <w:szCs w:val="24"/>
                <w:u w:val="none"/>
                <w:lang w:val="en-US" w:eastAsia="zh-CN" w:bidi="ar"/>
              </w:rPr>
              <w:t>16</w:t>
            </w:r>
          </w:p>
        </w:tc>
        <w:tc>
          <w:tcPr>
            <w:tcW w:w="3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44A2B2">
            <w:pPr>
              <w:keepNext w:val="0"/>
              <w:keepLines w:val="0"/>
              <w:widowControl/>
              <w:suppressLineNumbers w:val="0"/>
              <w:jc w:val="left"/>
              <w:textAlignment w:val="center"/>
              <w:rPr>
                <w:rFonts w:ascii="宋体" w:hAnsi="宋体" w:cs="宋体"/>
                <w:color w:val="FF0000"/>
                <w:szCs w:val="21"/>
                <w:highlight w:val="none"/>
              </w:rPr>
            </w:pPr>
            <w:r>
              <w:rPr>
                <w:rFonts w:hint="eastAsia" w:ascii="宋体" w:hAnsi="宋体" w:eastAsia="宋体" w:cs="宋体"/>
                <w:i w:val="0"/>
                <w:iCs w:val="0"/>
                <w:color w:val="000000"/>
                <w:kern w:val="0"/>
                <w:sz w:val="22"/>
                <w:szCs w:val="22"/>
                <w:u w:val="none"/>
                <w:lang w:val="en-US" w:eastAsia="zh-CN" w:bidi="ar"/>
              </w:rPr>
              <w:t>2022年省市真抓实干督查激励县级奖金</w:t>
            </w:r>
          </w:p>
        </w:tc>
        <w:tc>
          <w:tcPr>
            <w:tcW w:w="16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C0EFCA">
            <w:pPr>
              <w:keepNext w:val="0"/>
              <w:keepLines w:val="0"/>
              <w:widowControl/>
              <w:suppressLineNumbers w:val="0"/>
              <w:jc w:val="right"/>
              <w:textAlignment w:val="center"/>
              <w:rPr>
                <w:rFonts w:ascii="宋体" w:hAnsi="宋体" w:cs="宋体"/>
                <w:color w:val="FF0000"/>
                <w:szCs w:val="21"/>
                <w:highlight w:val="none"/>
              </w:rPr>
            </w:pPr>
            <w:r>
              <w:rPr>
                <w:rFonts w:hint="eastAsia" w:ascii="宋体" w:hAnsi="宋体" w:eastAsia="宋体" w:cs="宋体"/>
                <w:i w:val="0"/>
                <w:iCs w:val="0"/>
                <w:color w:val="000000"/>
                <w:kern w:val="0"/>
                <w:sz w:val="22"/>
                <w:szCs w:val="22"/>
                <w:u w:val="none"/>
                <w:lang w:val="en-US" w:eastAsia="zh-CN" w:bidi="ar"/>
              </w:rPr>
              <w:t>100,000.00</w:t>
            </w:r>
          </w:p>
        </w:tc>
        <w:tc>
          <w:tcPr>
            <w:tcW w:w="16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3DEE8F">
            <w:pPr>
              <w:keepNext w:val="0"/>
              <w:keepLines w:val="0"/>
              <w:widowControl/>
              <w:suppressLineNumbers w:val="0"/>
              <w:jc w:val="right"/>
              <w:textAlignment w:val="center"/>
              <w:rPr>
                <w:rFonts w:ascii="宋体" w:hAnsi="宋体" w:cs="宋体"/>
                <w:color w:val="FF0000"/>
                <w:szCs w:val="21"/>
                <w:highlight w:val="none"/>
              </w:rPr>
            </w:pPr>
            <w:r>
              <w:rPr>
                <w:rFonts w:hint="eastAsia" w:ascii="宋体" w:hAnsi="宋体" w:eastAsia="宋体" w:cs="宋体"/>
                <w:i w:val="0"/>
                <w:iCs w:val="0"/>
                <w:color w:val="000000"/>
                <w:kern w:val="0"/>
                <w:sz w:val="22"/>
                <w:szCs w:val="22"/>
                <w:u w:val="none"/>
                <w:lang w:val="en-US" w:eastAsia="zh-CN" w:bidi="ar"/>
              </w:rPr>
              <w:t>100,000.00</w:t>
            </w:r>
          </w:p>
        </w:tc>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C3C2CB">
            <w:pPr>
              <w:keepNext w:val="0"/>
              <w:keepLines w:val="0"/>
              <w:widowControl/>
              <w:suppressLineNumbers w:val="0"/>
              <w:jc w:val="center"/>
              <w:textAlignment w:val="center"/>
              <w:rPr>
                <w:rFonts w:ascii="宋体" w:hAnsi="宋体" w:cs="宋体"/>
                <w:color w:val="FF0000"/>
                <w:szCs w:val="21"/>
                <w:highlight w:val="none"/>
              </w:rPr>
            </w:pPr>
            <w:r>
              <w:rPr>
                <w:rFonts w:hint="eastAsia" w:ascii="宋体" w:hAnsi="宋体" w:eastAsia="宋体" w:cs="宋体"/>
                <w:i w:val="0"/>
                <w:iCs w:val="0"/>
                <w:color w:val="000000"/>
                <w:kern w:val="0"/>
                <w:sz w:val="24"/>
                <w:szCs w:val="24"/>
                <w:u w:val="none"/>
                <w:lang w:val="en-US" w:eastAsia="zh-CN" w:bidi="ar"/>
              </w:rPr>
              <w:t xml:space="preserve">0.00 </w:t>
            </w:r>
          </w:p>
        </w:tc>
        <w:tc>
          <w:tcPr>
            <w:tcW w:w="11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A09C85">
            <w:pPr>
              <w:keepNext w:val="0"/>
              <w:keepLines w:val="0"/>
              <w:widowControl/>
              <w:suppressLineNumbers w:val="0"/>
              <w:jc w:val="center"/>
              <w:textAlignment w:val="center"/>
              <w:rPr>
                <w:rFonts w:ascii="宋体" w:hAnsi="宋体" w:cs="宋体"/>
                <w:color w:val="FF0000"/>
                <w:szCs w:val="21"/>
                <w:highlight w:val="none"/>
              </w:rPr>
            </w:pPr>
            <w:r>
              <w:rPr>
                <w:rFonts w:hint="eastAsia" w:ascii="宋体" w:hAnsi="宋体" w:eastAsia="宋体" w:cs="宋体"/>
                <w:i w:val="0"/>
                <w:iCs w:val="0"/>
                <w:color w:val="000000"/>
                <w:kern w:val="0"/>
                <w:sz w:val="24"/>
                <w:szCs w:val="24"/>
                <w:u w:val="none"/>
                <w:lang w:val="en-US" w:eastAsia="zh-CN" w:bidi="ar"/>
              </w:rPr>
              <w:t>100.00%</w:t>
            </w:r>
          </w:p>
        </w:tc>
      </w:tr>
      <w:tr w14:paraId="73B1BEF6">
        <w:tblPrEx>
          <w:tblCellMar>
            <w:top w:w="0" w:type="dxa"/>
            <w:left w:w="0" w:type="dxa"/>
            <w:bottom w:w="0" w:type="dxa"/>
            <w:right w:w="0" w:type="dxa"/>
          </w:tblCellMar>
        </w:tblPrEx>
        <w:trPr>
          <w:trHeight w:val="285" w:hRule="atLeast"/>
        </w:trPr>
        <w:tc>
          <w:tcPr>
            <w:tcW w:w="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136A78">
            <w:pPr>
              <w:keepNext w:val="0"/>
              <w:keepLines w:val="0"/>
              <w:widowControl/>
              <w:suppressLineNumbers w:val="0"/>
              <w:jc w:val="center"/>
              <w:textAlignment w:val="center"/>
              <w:rPr>
                <w:rFonts w:hint="eastAsia" w:ascii="宋体" w:hAnsi="宋体" w:cs="宋体"/>
                <w:color w:val="FF0000"/>
                <w:kern w:val="0"/>
                <w:sz w:val="24"/>
                <w:highlight w:val="none"/>
              </w:rPr>
            </w:pPr>
            <w:r>
              <w:rPr>
                <w:rFonts w:hint="eastAsia" w:ascii="宋体" w:hAnsi="宋体" w:eastAsia="宋体" w:cs="宋体"/>
                <w:i w:val="0"/>
                <w:iCs w:val="0"/>
                <w:color w:val="000000"/>
                <w:kern w:val="0"/>
                <w:sz w:val="24"/>
                <w:szCs w:val="24"/>
                <w:u w:val="none"/>
                <w:lang w:val="en-US" w:eastAsia="zh-CN" w:bidi="ar"/>
              </w:rPr>
              <w:t>17</w:t>
            </w:r>
          </w:p>
        </w:tc>
        <w:tc>
          <w:tcPr>
            <w:tcW w:w="3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C286A3">
            <w:pPr>
              <w:keepNext w:val="0"/>
              <w:keepLines w:val="0"/>
              <w:widowControl/>
              <w:suppressLineNumbers w:val="0"/>
              <w:jc w:val="left"/>
              <w:textAlignment w:val="center"/>
              <w:rPr>
                <w:rFonts w:hint="eastAsia" w:ascii="宋体" w:hAnsi="宋体" w:cs="宋体"/>
                <w:color w:val="FF0000"/>
                <w:kern w:val="0"/>
                <w:sz w:val="24"/>
                <w:highlight w:val="none"/>
              </w:rPr>
            </w:pPr>
            <w:r>
              <w:rPr>
                <w:rFonts w:hint="eastAsia" w:ascii="宋体" w:hAnsi="宋体" w:eastAsia="宋体" w:cs="宋体"/>
                <w:i w:val="0"/>
                <w:iCs w:val="0"/>
                <w:color w:val="000000"/>
                <w:kern w:val="0"/>
                <w:sz w:val="22"/>
                <w:szCs w:val="22"/>
                <w:u w:val="none"/>
                <w:lang w:val="en-US" w:eastAsia="zh-CN" w:bidi="ar"/>
              </w:rPr>
              <w:t>自建房安全专项整治房屋安全鉴定费</w:t>
            </w:r>
          </w:p>
        </w:tc>
        <w:tc>
          <w:tcPr>
            <w:tcW w:w="16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343857">
            <w:pPr>
              <w:keepNext w:val="0"/>
              <w:keepLines w:val="0"/>
              <w:widowControl/>
              <w:suppressLineNumbers w:val="0"/>
              <w:jc w:val="right"/>
              <w:textAlignment w:val="center"/>
              <w:rPr>
                <w:rFonts w:hint="eastAsia" w:ascii="宋体" w:hAnsi="宋体" w:cs="宋体"/>
                <w:color w:val="FF0000"/>
                <w:kern w:val="0"/>
                <w:sz w:val="24"/>
                <w:highlight w:val="none"/>
              </w:rPr>
            </w:pPr>
            <w:r>
              <w:rPr>
                <w:rFonts w:hint="eastAsia" w:ascii="宋体" w:hAnsi="宋体" w:eastAsia="宋体" w:cs="宋体"/>
                <w:i w:val="0"/>
                <w:iCs w:val="0"/>
                <w:color w:val="000000"/>
                <w:kern w:val="0"/>
                <w:sz w:val="22"/>
                <w:szCs w:val="22"/>
                <w:u w:val="none"/>
                <w:lang w:val="en-US" w:eastAsia="zh-CN" w:bidi="ar"/>
              </w:rPr>
              <w:t>962,200.00</w:t>
            </w:r>
          </w:p>
        </w:tc>
        <w:tc>
          <w:tcPr>
            <w:tcW w:w="16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5EB00A">
            <w:pPr>
              <w:keepNext w:val="0"/>
              <w:keepLines w:val="0"/>
              <w:widowControl/>
              <w:suppressLineNumbers w:val="0"/>
              <w:jc w:val="right"/>
              <w:textAlignment w:val="center"/>
              <w:rPr>
                <w:rFonts w:hint="eastAsia" w:ascii="宋体" w:hAnsi="宋体" w:cs="宋体"/>
                <w:color w:val="FF0000"/>
                <w:kern w:val="0"/>
                <w:sz w:val="24"/>
                <w:highlight w:val="none"/>
              </w:rPr>
            </w:pPr>
            <w:r>
              <w:rPr>
                <w:rFonts w:hint="eastAsia" w:ascii="宋体" w:hAnsi="宋体" w:eastAsia="宋体" w:cs="宋体"/>
                <w:i w:val="0"/>
                <w:iCs w:val="0"/>
                <w:color w:val="000000"/>
                <w:kern w:val="0"/>
                <w:sz w:val="22"/>
                <w:szCs w:val="22"/>
                <w:u w:val="none"/>
                <w:lang w:val="en-US" w:eastAsia="zh-CN" w:bidi="ar"/>
              </w:rPr>
              <w:t>962,200.00</w:t>
            </w:r>
          </w:p>
        </w:tc>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6919FF">
            <w:pPr>
              <w:keepNext w:val="0"/>
              <w:keepLines w:val="0"/>
              <w:widowControl/>
              <w:suppressLineNumbers w:val="0"/>
              <w:jc w:val="center"/>
              <w:textAlignment w:val="center"/>
              <w:rPr>
                <w:rFonts w:hint="eastAsia" w:ascii="宋体" w:hAnsi="宋体" w:cs="宋体"/>
                <w:color w:val="FF0000"/>
                <w:kern w:val="0"/>
                <w:sz w:val="24"/>
                <w:highlight w:val="none"/>
              </w:rPr>
            </w:pPr>
            <w:r>
              <w:rPr>
                <w:rFonts w:hint="eastAsia" w:ascii="宋体" w:hAnsi="宋体" w:eastAsia="宋体" w:cs="宋体"/>
                <w:i w:val="0"/>
                <w:iCs w:val="0"/>
                <w:color w:val="000000"/>
                <w:kern w:val="0"/>
                <w:sz w:val="24"/>
                <w:szCs w:val="24"/>
                <w:u w:val="none"/>
                <w:lang w:val="en-US" w:eastAsia="zh-CN" w:bidi="ar"/>
              </w:rPr>
              <w:t xml:space="preserve">0.00 </w:t>
            </w:r>
          </w:p>
        </w:tc>
        <w:tc>
          <w:tcPr>
            <w:tcW w:w="11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61992F">
            <w:pPr>
              <w:keepNext w:val="0"/>
              <w:keepLines w:val="0"/>
              <w:widowControl/>
              <w:suppressLineNumbers w:val="0"/>
              <w:jc w:val="center"/>
              <w:textAlignment w:val="center"/>
              <w:rPr>
                <w:rFonts w:hint="eastAsia" w:ascii="宋体" w:hAnsi="宋体" w:cs="宋体"/>
                <w:color w:val="FF0000"/>
                <w:kern w:val="0"/>
                <w:sz w:val="24"/>
                <w:highlight w:val="none"/>
              </w:rPr>
            </w:pPr>
            <w:r>
              <w:rPr>
                <w:rFonts w:hint="eastAsia" w:ascii="宋体" w:hAnsi="宋体" w:eastAsia="宋体" w:cs="宋体"/>
                <w:i w:val="0"/>
                <w:iCs w:val="0"/>
                <w:color w:val="000000"/>
                <w:kern w:val="0"/>
                <w:sz w:val="24"/>
                <w:szCs w:val="24"/>
                <w:u w:val="none"/>
                <w:lang w:val="en-US" w:eastAsia="zh-CN" w:bidi="ar"/>
              </w:rPr>
              <w:t>100.00%</w:t>
            </w:r>
          </w:p>
        </w:tc>
      </w:tr>
      <w:tr w14:paraId="1E650BD8">
        <w:tblPrEx>
          <w:tblCellMar>
            <w:top w:w="0" w:type="dxa"/>
            <w:left w:w="0" w:type="dxa"/>
            <w:bottom w:w="0" w:type="dxa"/>
            <w:right w:w="0" w:type="dxa"/>
          </w:tblCellMar>
        </w:tblPrEx>
        <w:trPr>
          <w:trHeight w:val="285" w:hRule="atLeast"/>
        </w:trPr>
        <w:tc>
          <w:tcPr>
            <w:tcW w:w="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4CE009">
            <w:pPr>
              <w:keepNext w:val="0"/>
              <w:keepLines w:val="0"/>
              <w:widowControl/>
              <w:suppressLineNumbers w:val="0"/>
              <w:jc w:val="center"/>
              <w:textAlignment w:val="center"/>
              <w:rPr>
                <w:rFonts w:hint="eastAsia" w:ascii="宋体" w:hAnsi="宋体" w:cs="宋体"/>
                <w:color w:val="FF0000"/>
                <w:kern w:val="0"/>
                <w:sz w:val="24"/>
                <w:highlight w:val="none"/>
              </w:rPr>
            </w:pPr>
            <w:r>
              <w:rPr>
                <w:rFonts w:hint="eastAsia" w:ascii="宋体" w:hAnsi="宋体" w:eastAsia="宋体" w:cs="宋体"/>
                <w:i w:val="0"/>
                <w:iCs w:val="0"/>
                <w:color w:val="000000"/>
                <w:kern w:val="0"/>
                <w:sz w:val="24"/>
                <w:szCs w:val="24"/>
                <w:u w:val="none"/>
                <w:lang w:val="en-US" w:eastAsia="zh-CN" w:bidi="ar"/>
              </w:rPr>
              <w:t>18</w:t>
            </w:r>
          </w:p>
        </w:tc>
        <w:tc>
          <w:tcPr>
            <w:tcW w:w="3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C2270E">
            <w:pPr>
              <w:keepNext w:val="0"/>
              <w:keepLines w:val="0"/>
              <w:widowControl/>
              <w:suppressLineNumbers w:val="0"/>
              <w:jc w:val="left"/>
              <w:textAlignment w:val="center"/>
              <w:rPr>
                <w:rFonts w:hint="eastAsia" w:ascii="宋体" w:hAnsi="宋体" w:cs="宋体"/>
                <w:color w:val="FF0000"/>
                <w:kern w:val="0"/>
                <w:sz w:val="24"/>
                <w:highlight w:val="none"/>
              </w:rPr>
            </w:pPr>
            <w:r>
              <w:rPr>
                <w:rFonts w:hint="eastAsia" w:ascii="宋体" w:hAnsi="宋体" w:eastAsia="宋体" w:cs="宋体"/>
                <w:i w:val="0"/>
                <w:iCs w:val="0"/>
                <w:color w:val="000000"/>
                <w:kern w:val="0"/>
                <w:sz w:val="22"/>
                <w:szCs w:val="22"/>
                <w:u w:val="none"/>
                <w:lang w:val="en-US" w:eastAsia="zh-CN" w:bidi="ar"/>
              </w:rPr>
              <w:t>水利局家属楼老旧小区改造项目</w:t>
            </w:r>
          </w:p>
        </w:tc>
        <w:tc>
          <w:tcPr>
            <w:tcW w:w="16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CA71EC">
            <w:pPr>
              <w:keepNext w:val="0"/>
              <w:keepLines w:val="0"/>
              <w:widowControl/>
              <w:suppressLineNumbers w:val="0"/>
              <w:jc w:val="right"/>
              <w:textAlignment w:val="center"/>
              <w:rPr>
                <w:rFonts w:hint="eastAsia" w:ascii="宋体" w:hAnsi="宋体" w:cs="宋体"/>
                <w:color w:val="FF0000"/>
                <w:kern w:val="0"/>
                <w:sz w:val="24"/>
                <w:highlight w:val="none"/>
              </w:rPr>
            </w:pPr>
            <w:r>
              <w:rPr>
                <w:rFonts w:hint="eastAsia" w:ascii="宋体" w:hAnsi="宋体" w:eastAsia="宋体" w:cs="宋体"/>
                <w:i w:val="0"/>
                <w:iCs w:val="0"/>
                <w:color w:val="000000"/>
                <w:kern w:val="0"/>
                <w:sz w:val="22"/>
                <w:szCs w:val="22"/>
                <w:u w:val="none"/>
                <w:lang w:val="en-US" w:eastAsia="zh-CN" w:bidi="ar"/>
              </w:rPr>
              <w:t>293,200.00</w:t>
            </w:r>
          </w:p>
        </w:tc>
        <w:tc>
          <w:tcPr>
            <w:tcW w:w="16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5CE821">
            <w:pPr>
              <w:keepNext w:val="0"/>
              <w:keepLines w:val="0"/>
              <w:widowControl/>
              <w:suppressLineNumbers w:val="0"/>
              <w:jc w:val="right"/>
              <w:textAlignment w:val="center"/>
              <w:rPr>
                <w:rFonts w:hint="eastAsia" w:ascii="宋体" w:hAnsi="宋体" w:cs="宋体"/>
                <w:color w:val="FF0000"/>
                <w:kern w:val="0"/>
                <w:sz w:val="24"/>
                <w:highlight w:val="none"/>
              </w:rPr>
            </w:pPr>
            <w:r>
              <w:rPr>
                <w:rFonts w:hint="eastAsia" w:ascii="宋体" w:hAnsi="宋体" w:eastAsia="宋体" w:cs="宋体"/>
                <w:i w:val="0"/>
                <w:iCs w:val="0"/>
                <w:color w:val="000000"/>
                <w:kern w:val="0"/>
                <w:sz w:val="22"/>
                <w:szCs w:val="22"/>
                <w:u w:val="none"/>
                <w:lang w:val="en-US" w:eastAsia="zh-CN" w:bidi="ar"/>
              </w:rPr>
              <w:t>293,200.00</w:t>
            </w:r>
          </w:p>
        </w:tc>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71B931">
            <w:pPr>
              <w:keepNext w:val="0"/>
              <w:keepLines w:val="0"/>
              <w:widowControl/>
              <w:suppressLineNumbers w:val="0"/>
              <w:jc w:val="center"/>
              <w:textAlignment w:val="center"/>
              <w:rPr>
                <w:rFonts w:hint="eastAsia" w:ascii="宋体" w:hAnsi="宋体" w:cs="宋体"/>
                <w:color w:val="FF0000"/>
                <w:kern w:val="0"/>
                <w:sz w:val="24"/>
                <w:highlight w:val="none"/>
              </w:rPr>
            </w:pPr>
            <w:r>
              <w:rPr>
                <w:rFonts w:hint="eastAsia" w:ascii="宋体" w:hAnsi="宋体" w:eastAsia="宋体" w:cs="宋体"/>
                <w:i w:val="0"/>
                <w:iCs w:val="0"/>
                <w:color w:val="000000"/>
                <w:kern w:val="0"/>
                <w:sz w:val="24"/>
                <w:szCs w:val="24"/>
                <w:u w:val="none"/>
                <w:lang w:val="en-US" w:eastAsia="zh-CN" w:bidi="ar"/>
              </w:rPr>
              <w:t xml:space="preserve">0.00 </w:t>
            </w:r>
          </w:p>
        </w:tc>
        <w:tc>
          <w:tcPr>
            <w:tcW w:w="11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3B07D8">
            <w:pPr>
              <w:keepNext w:val="0"/>
              <w:keepLines w:val="0"/>
              <w:widowControl/>
              <w:suppressLineNumbers w:val="0"/>
              <w:jc w:val="center"/>
              <w:textAlignment w:val="center"/>
              <w:rPr>
                <w:rFonts w:hint="eastAsia" w:ascii="宋体" w:hAnsi="宋体" w:cs="宋体"/>
                <w:color w:val="FF0000"/>
                <w:kern w:val="0"/>
                <w:sz w:val="24"/>
                <w:highlight w:val="none"/>
              </w:rPr>
            </w:pPr>
            <w:r>
              <w:rPr>
                <w:rFonts w:hint="eastAsia" w:ascii="宋体" w:hAnsi="宋体" w:eastAsia="宋体" w:cs="宋体"/>
                <w:i w:val="0"/>
                <w:iCs w:val="0"/>
                <w:color w:val="000000"/>
                <w:kern w:val="0"/>
                <w:sz w:val="24"/>
                <w:szCs w:val="24"/>
                <w:u w:val="none"/>
                <w:lang w:val="en-US" w:eastAsia="zh-CN" w:bidi="ar"/>
              </w:rPr>
              <w:t>100.00%</w:t>
            </w:r>
          </w:p>
        </w:tc>
      </w:tr>
      <w:tr w14:paraId="2866E486">
        <w:tblPrEx>
          <w:tblCellMar>
            <w:top w:w="0" w:type="dxa"/>
            <w:left w:w="0" w:type="dxa"/>
            <w:bottom w:w="0" w:type="dxa"/>
            <w:right w:w="0" w:type="dxa"/>
          </w:tblCellMar>
        </w:tblPrEx>
        <w:trPr>
          <w:trHeight w:val="285" w:hRule="atLeast"/>
        </w:trPr>
        <w:tc>
          <w:tcPr>
            <w:tcW w:w="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AC8A0B">
            <w:pPr>
              <w:keepNext w:val="0"/>
              <w:keepLines w:val="0"/>
              <w:widowControl/>
              <w:suppressLineNumbers w:val="0"/>
              <w:jc w:val="center"/>
              <w:textAlignment w:val="center"/>
              <w:rPr>
                <w:rFonts w:hint="eastAsia" w:ascii="宋体" w:hAnsi="宋体" w:cs="宋体"/>
                <w:color w:val="FF0000"/>
                <w:kern w:val="0"/>
                <w:sz w:val="24"/>
                <w:highlight w:val="none"/>
              </w:rPr>
            </w:pPr>
            <w:r>
              <w:rPr>
                <w:rFonts w:hint="eastAsia" w:ascii="宋体" w:hAnsi="宋体" w:eastAsia="宋体" w:cs="宋体"/>
                <w:i w:val="0"/>
                <w:iCs w:val="0"/>
                <w:color w:val="000000"/>
                <w:kern w:val="0"/>
                <w:sz w:val="24"/>
                <w:szCs w:val="24"/>
                <w:u w:val="none"/>
                <w:lang w:val="en-US" w:eastAsia="zh-CN" w:bidi="ar"/>
              </w:rPr>
              <w:t>19</w:t>
            </w:r>
          </w:p>
        </w:tc>
        <w:tc>
          <w:tcPr>
            <w:tcW w:w="3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FAE0F2">
            <w:pPr>
              <w:keepNext w:val="0"/>
              <w:keepLines w:val="0"/>
              <w:widowControl/>
              <w:suppressLineNumbers w:val="0"/>
              <w:jc w:val="left"/>
              <w:textAlignment w:val="center"/>
              <w:rPr>
                <w:rFonts w:hint="eastAsia" w:ascii="宋体" w:hAnsi="宋体" w:cs="宋体"/>
                <w:color w:val="FF0000"/>
                <w:kern w:val="0"/>
                <w:sz w:val="24"/>
                <w:highlight w:val="none"/>
              </w:rPr>
            </w:pPr>
            <w:r>
              <w:rPr>
                <w:rFonts w:hint="eastAsia" w:ascii="宋体" w:hAnsi="宋体" w:eastAsia="宋体" w:cs="宋体"/>
                <w:i w:val="0"/>
                <w:iCs w:val="0"/>
                <w:color w:val="000000"/>
                <w:kern w:val="0"/>
                <w:sz w:val="22"/>
                <w:szCs w:val="22"/>
                <w:u w:val="none"/>
                <w:lang w:val="en-US" w:eastAsia="zh-CN" w:bidi="ar"/>
              </w:rPr>
              <w:t>城西区排水防涝建设项目</w:t>
            </w:r>
          </w:p>
        </w:tc>
        <w:tc>
          <w:tcPr>
            <w:tcW w:w="16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51D283">
            <w:pPr>
              <w:keepNext w:val="0"/>
              <w:keepLines w:val="0"/>
              <w:widowControl/>
              <w:suppressLineNumbers w:val="0"/>
              <w:jc w:val="right"/>
              <w:textAlignment w:val="center"/>
              <w:rPr>
                <w:rFonts w:hint="eastAsia" w:ascii="宋体" w:hAnsi="宋体" w:cs="宋体"/>
                <w:color w:val="FF0000"/>
                <w:kern w:val="0"/>
                <w:sz w:val="24"/>
                <w:highlight w:val="none"/>
              </w:rPr>
            </w:pPr>
            <w:r>
              <w:rPr>
                <w:rFonts w:hint="eastAsia" w:ascii="宋体" w:hAnsi="宋体" w:eastAsia="宋体" w:cs="宋体"/>
                <w:i w:val="0"/>
                <w:iCs w:val="0"/>
                <w:color w:val="000000"/>
                <w:kern w:val="0"/>
                <w:sz w:val="22"/>
                <w:szCs w:val="22"/>
                <w:u w:val="none"/>
                <w:lang w:val="en-US" w:eastAsia="zh-CN" w:bidi="ar"/>
              </w:rPr>
              <w:t>1,626,300.00</w:t>
            </w:r>
          </w:p>
        </w:tc>
        <w:tc>
          <w:tcPr>
            <w:tcW w:w="16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E0DC3F">
            <w:pPr>
              <w:keepNext w:val="0"/>
              <w:keepLines w:val="0"/>
              <w:widowControl/>
              <w:suppressLineNumbers w:val="0"/>
              <w:jc w:val="right"/>
              <w:textAlignment w:val="center"/>
              <w:rPr>
                <w:rFonts w:hint="eastAsia" w:ascii="宋体" w:hAnsi="宋体" w:cs="宋体"/>
                <w:color w:val="FF0000"/>
                <w:kern w:val="0"/>
                <w:sz w:val="24"/>
                <w:highlight w:val="none"/>
              </w:rPr>
            </w:pPr>
            <w:r>
              <w:rPr>
                <w:rFonts w:hint="eastAsia" w:ascii="宋体" w:hAnsi="宋体" w:eastAsia="宋体" w:cs="宋体"/>
                <w:i w:val="0"/>
                <w:iCs w:val="0"/>
                <w:color w:val="000000"/>
                <w:kern w:val="0"/>
                <w:sz w:val="22"/>
                <w:szCs w:val="22"/>
                <w:u w:val="none"/>
                <w:lang w:val="en-US" w:eastAsia="zh-CN" w:bidi="ar"/>
              </w:rPr>
              <w:t>1,626,300.00</w:t>
            </w:r>
          </w:p>
        </w:tc>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18D2E3">
            <w:pPr>
              <w:keepNext w:val="0"/>
              <w:keepLines w:val="0"/>
              <w:widowControl/>
              <w:suppressLineNumbers w:val="0"/>
              <w:jc w:val="center"/>
              <w:textAlignment w:val="center"/>
              <w:rPr>
                <w:rFonts w:hint="eastAsia" w:ascii="宋体" w:hAnsi="宋体" w:cs="宋体"/>
                <w:color w:val="FF0000"/>
                <w:kern w:val="0"/>
                <w:sz w:val="24"/>
                <w:highlight w:val="none"/>
              </w:rPr>
            </w:pPr>
            <w:r>
              <w:rPr>
                <w:rFonts w:hint="eastAsia" w:ascii="宋体" w:hAnsi="宋体" w:eastAsia="宋体" w:cs="宋体"/>
                <w:i w:val="0"/>
                <w:iCs w:val="0"/>
                <w:color w:val="000000"/>
                <w:kern w:val="0"/>
                <w:sz w:val="24"/>
                <w:szCs w:val="24"/>
                <w:u w:val="none"/>
                <w:lang w:val="en-US" w:eastAsia="zh-CN" w:bidi="ar"/>
              </w:rPr>
              <w:t xml:space="preserve">0.00 </w:t>
            </w:r>
          </w:p>
        </w:tc>
        <w:tc>
          <w:tcPr>
            <w:tcW w:w="11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D806F8">
            <w:pPr>
              <w:keepNext w:val="0"/>
              <w:keepLines w:val="0"/>
              <w:widowControl/>
              <w:suppressLineNumbers w:val="0"/>
              <w:jc w:val="center"/>
              <w:textAlignment w:val="center"/>
              <w:rPr>
                <w:rFonts w:hint="eastAsia" w:ascii="宋体" w:hAnsi="宋体" w:cs="宋体"/>
                <w:color w:val="FF0000"/>
                <w:kern w:val="0"/>
                <w:sz w:val="24"/>
                <w:highlight w:val="none"/>
              </w:rPr>
            </w:pPr>
            <w:r>
              <w:rPr>
                <w:rFonts w:hint="eastAsia" w:ascii="宋体" w:hAnsi="宋体" w:eastAsia="宋体" w:cs="宋体"/>
                <w:i w:val="0"/>
                <w:iCs w:val="0"/>
                <w:color w:val="000000"/>
                <w:kern w:val="0"/>
                <w:sz w:val="24"/>
                <w:szCs w:val="24"/>
                <w:u w:val="none"/>
                <w:lang w:val="en-US" w:eastAsia="zh-CN" w:bidi="ar"/>
              </w:rPr>
              <w:t>100.00%</w:t>
            </w:r>
          </w:p>
        </w:tc>
      </w:tr>
      <w:tr w14:paraId="2EB25166">
        <w:tblPrEx>
          <w:tblCellMar>
            <w:top w:w="0" w:type="dxa"/>
            <w:left w:w="0" w:type="dxa"/>
            <w:bottom w:w="0" w:type="dxa"/>
            <w:right w:w="0" w:type="dxa"/>
          </w:tblCellMar>
        </w:tblPrEx>
        <w:trPr>
          <w:trHeight w:val="285" w:hRule="atLeast"/>
        </w:trPr>
        <w:tc>
          <w:tcPr>
            <w:tcW w:w="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526F75">
            <w:pPr>
              <w:keepNext w:val="0"/>
              <w:keepLines w:val="0"/>
              <w:widowControl/>
              <w:suppressLineNumbers w:val="0"/>
              <w:jc w:val="center"/>
              <w:textAlignment w:val="center"/>
              <w:rPr>
                <w:rFonts w:hint="eastAsia" w:ascii="宋体" w:hAnsi="宋体" w:cs="宋体"/>
                <w:color w:val="FF0000"/>
                <w:kern w:val="0"/>
                <w:sz w:val="24"/>
                <w:highlight w:val="none"/>
              </w:rPr>
            </w:pPr>
            <w:r>
              <w:rPr>
                <w:rFonts w:hint="eastAsia" w:ascii="宋体" w:hAnsi="宋体" w:eastAsia="宋体" w:cs="宋体"/>
                <w:i w:val="0"/>
                <w:iCs w:val="0"/>
                <w:color w:val="000000"/>
                <w:kern w:val="0"/>
                <w:sz w:val="24"/>
                <w:szCs w:val="24"/>
                <w:u w:val="none"/>
                <w:lang w:val="en-US" w:eastAsia="zh-CN" w:bidi="ar"/>
              </w:rPr>
              <w:t>20</w:t>
            </w:r>
          </w:p>
        </w:tc>
        <w:tc>
          <w:tcPr>
            <w:tcW w:w="3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60EA34">
            <w:pPr>
              <w:keepNext w:val="0"/>
              <w:keepLines w:val="0"/>
              <w:widowControl/>
              <w:suppressLineNumbers w:val="0"/>
              <w:jc w:val="left"/>
              <w:textAlignment w:val="center"/>
              <w:rPr>
                <w:rFonts w:hint="eastAsia" w:ascii="宋体" w:hAnsi="宋体" w:cs="宋体"/>
                <w:color w:val="FF0000"/>
                <w:kern w:val="0"/>
                <w:sz w:val="24"/>
                <w:highlight w:val="none"/>
              </w:rPr>
            </w:pPr>
            <w:r>
              <w:rPr>
                <w:rFonts w:hint="eastAsia" w:ascii="宋体" w:hAnsi="宋体" w:eastAsia="宋体" w:cs="宋体"/>
                <w:i w:val="0"/>
                <w:iCs w:val="0"/>
                <w:color w:val="000000"/>
                <w:kern w:val="0"/>
                <w:sz w:val="22"/>
                <w:szCs w:val="22"/>
                <w:u w:val="none"/>
                <w:lang w:val="en-US" w:eastAsia="zh-CN" w:bidi="ar"/>
              </w:rPr>
              <w:t>排水管道改造工程项目（建设路、佑文巷、征智巷路段雨污分流）</w:t>
            </w:r>
          </w:p>
        </w:tc>
        <w:tc>
          <w:tcPr>
            <w:tcW w:w="16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9E3978">
            <w:pPr>
              <w:keepNext w:val="0"/>
              <w:keepLines w:val="0"/>
              <w:widowControl/>
              <w:suppressLineNumbers w:val="0"/>
              <w:jc w:val="right"/>
              <w:textAlignment w:val="center"/>
              <w:rPr>
                <w:rFonts w:hint="eastAsia" w:ascii="宋体" w:hAnsi="宋体" w:cs="宋体"/>
                <w:color w:val="FF0000"/>
                <w:kern w:val="0"/>
                <w:sz w:val="24"/>
                <w:highlight w:val="none"/>
              </w:rPr>
            </w:pPr>
            <w:r>
              <w:rPr>
                <w:rFonts w:hint="eastAsia" w:ascii="宋体" w:hAnsi="宋体" w:eastAsia="宋体" w:cs="宋体"/>
                <w:i w:val="0"/>
                <w:iCs w:val="0"/>
                <w:color w:val="000000"/>
                <w:kern w:val="0"/>
                <w:sz w:val="22"/>
                <w:szCs w:val="22"/>
                <w:u w:val="none"/>
                <w:lang w:val="en-US" w:eastAsia="zh-CN" w:bidi="ar"/>
              </w:rPr>
              <w:t>8,499,594.98</w:t>
            </w:r>
          </w:p>
        </w:tc>
        <w:tc>
          <w:tcPr>
            <w:tcW w:w="16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6384BF">
            <w:pPr>
              <w:keepNext w:val="0"/>
              <w:keepLines w:val="0"/>
              <w:widowControl/>
              <w:suppressLineNumbers w:val="0"/>
              <w:jc w:val="right"/>
              <w:textAlignment w:val="center"/>
              <w:rPr>
                <w:rFonts w:hint="eastAsia" w:ascii="宋体" w:hAnsi="宋体" w:cs="宋体"/>
                <w:color w:val="FF0000"/>
                <w:kern w:val="0"/>
                <w:sz w:val="24"/>
                <w:highlight w:val="none"/>
              </w:rPr>
            </w:pPr>
            <w:r>
              <w:rPr>
                <w:rFonts w:hint="eastAsia" w:ascii="宋体" w:hAnsi="宋体" w:eastAsia="宋体" w:cs="宋体"/>
                <w:i w:val="0"/>
                <w:iCs w:val="0"/>
                <w:color w:val="000000"/>
                <w:kern w:val="0"/>
                <w:sz w:val="22"/>
                <w:szCs w:val="22"/>
                <w:u w:val="none"/>
                <w:lang w:val="en-US" w:eastAsia="zh-CN" w:bidi="ar"/>
              </w:rPr>
              <w:t>8,499,594.98</w:t>
            </w:r>
          </w:p>
        </w:tc>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68B63E">
            <w:pPr>
              <w:keepNext w:val="0"/>
              <w:keepLines w:val="0"/>
              <w:widowControl/>
              <w:suppressLineNumbers w:val="0"/>
              <w:jc w:val="center"/>
              <w:textAlignment w:val="center"/>
              <w:rPr>
                <w:rFonts w:hint="eastAsia" w:ascii="宋体" w:hAnsi="宋体" w:cs="宋体"/>
                <w:color w:val="FF0000"/>
                <w:kern w:val="0"/>
                <w:sz w:val="24"/>
                <w:highlight w:val="none"/>
              </w:rPr>
            </w:pPr>
            <w:r>
              <w:rPr>
                <w:rFonts w:hint="eastAsia" w:ascii="宋体" w:hAnsi="宋体" w:eastAsia="宋体" w:cs="宋体"/>
                <w:i w:val="0"/>
                <w:iCs w:val="0"/>
                <w:color w:val="000000"/>
                <w:kern w:val="0"/>
                <w:sz w:val="24"/>
                <w:szCs w:val="24"/>
                <w:u w:val="none"/>
                <w:lang w:val="en-US" w:eastAsia="zh-CN" w:bidi="ar"/>
              </w:rPr>
              <w:t xml:space="preserve">0.00 </w:t>
            </w:r>
          </w:p>
        </w:tc>
        <w:tc>
          <w:tcPr>
            <w:tcW w:w="11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5B9D55">
            <w:pPr>
              <w:keepNext w:val="0"/>
              <w:keepLines w:val="0"/>
              <w:widowControl/>
              <w:suppressLineNumbers w:val="0"/>
              <w:jc w:val="center"/>
              <w:textAlignment w:val="center"/>
              <w:rPr>
                <w:rFonts w:hint="eastAsia" w:ascii="宋体" w:hAnsi="宋体" w:cs="宋体"/>
                <w:color w:val="FF0000"/>
                <w:kern w:val="0"/>
                <w:sz w:val="24"/>
                <w:highlight w:val="none"/>
              </w:rPr>
            </w:pPr>
            <w:r>
              <w:rPr>
                <w:rFonts w:hint="eastAsia" w:ascii="宋体" w:hAnsi="宋体" w:eastAsia="宋体" w:cs="宋体"/>
                <w:i w:val="0"/>
                <w:iCs w:val="0"/>
                <w:color w:val="000000"/>
                <w:kern w:val="0"/>
                <w:sz w:val="24"/>
                <w:szCs w:val="24"/>
                <w:u w:val="none"/>
                <w:lang w:val="en-US" w:eastAsia="zh-CN" w:bidi="ar"/>
              </w:rPr>
              <w:t>100.00%</w:t>
            </w:r>
          </w:p>
        </w:tc>
      </w:tr>
      <w:tr w14:paraId="3D51131F">
        <w:tblPrEx>
          <w:tblCellMar>
            <w:top w:w="0" w:type="dxa"/>
            <w:left w:w="0" w:type="dxa"/>
            <w:bottom w:w="0" w:type="dxa"/>
            <w:right w:w="0" w:type="dxa"/>
          </w:tblCellMar>
        </w:tblPrEx>
        <w:trPr>
          <w:trHeight w:val="285" w:hRule="atLeast"/>
        </w:trPr>
        <w:tc>
          <w:tcPr>
            <w:tcW w:w="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154E1E">
            <w:pPr>
              <w:keepNext w:val="0"/>
              <w:keepLines w:val="0"/>
              <w:widowControl/>
              <w:suppressLineNumbers w:val="0"/>
              <w:jc w:val="center"/>
              <w:textAlignment w:val="center"/>
              <w:rPr>
                <w:rFonts w:hint="eastAsia" w:ascii="宋体" w:hAnsi="宋体" w:cs="宋体"/>
                <w:color w:val="FF0000"/>
                <w:kern w:val="0"/>
                <w:sz w:val="24"/>
                <w:highlight w:val="none"/>
              </w:rPr>
            </w:pPr>
            <w:r>
              <w:rPr>
                <w:rFonts w:hint="eastAsia" w:ascii="宋体" w:hAnsi="宋体" w:eastAsia="宋体" w:cs="宋体"/>
                <w:i w:val="0"/>
                <w:iCs w:val="0"/>
                <w:color w:val="000000"/>
                <w:kern w:val="0"/>
                <w:sz w:val="24"/>
                <w:szCs w:val="24"/>
                <w:u w:val="none"/>
                <w:lang w:val="en-US" w:eastAsia="zh-CN" w:bidi="ar"/>
              </w:rPr>
              <w:t>21</w:t>
            </w:r>
          </w:p>
        </w:tc>
        <w:tc>
          <w:tcPr>
            <w:tcW w:w="3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B51193">
            <w:pPr>
              <w:keepNext w:val="0"/>
              <w:keepLines w:val="0"/>
              <w:widowControl/>
              <w:suppressLineNumbers w:val="0"/>
              <w:jc w:val="left"/>
              <w:textAlignment w:val="center"/>
              <w:rPr>
                <w:rFonts w:hint="eastAsia" w:ascii="宋体" w:hAnsi="宋体" w:cs="宋体"/>
                <w:color w:val="FF0000"/>
                <w:kern w:val="0"/>
                <w:sz w:val="24"/>
                <w:highlight w:val="none"/>
              </w:rPr>
            </w:pPr>
            <w:r>
              <w:rPr>
                <w:rFonts w:hint="eastAsia" w:ascii="宋体" w:hAnsi="宋体" w:eastAsia="宋体" w:cs="宋体"/>
                <w:i w:val="0"/>
                <w:iCs w:val="0"/>
                <w:color w:val="000000"/>
                <w:kern w:val="0"/>
                <w:sz w:val="22"/>
                <w:szCs w:val="22"/>
                <w:u w:val="none"/>
                <w:lang w:val="en-US" w:eastAsia="zh-CN" w:bidi="ar"/>
              </w:rPr>
              <w:t>县住建局部门基础项目经费</w:t>
            </w:r>
          </w:p>
        </w:tc>
        <w:tc>
          <w:tcPr>
            <w:tcW w:w="16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47C93A">
            <w:pPr>
              <w:keepNext w:val="0"/>
              <w:keepLines w:val="0"/>
              <w:widowControl/>
              <w:suppressLineNumbers w:val="0"/>
              <w:jc w:val="right"/>
              <w:textAlignment w:val="center"/>
              <w:rPr>
                <w:rFonts w:hint="eastAsia" w:ascii="宋体" w:hAnsi="宋体" w:cs="宋体"/>
                <w:color w:val="FF0000"/>
                <w:kern w:val="0"/>
                <w:sz w:val="24"/>
                <w:highlight w:val="none"/>
              </w:rPr>
            </w:pPr>
            <w:r>
              <w:rPr>
                <w:rFonts w:hint="eastAsia" w:ascii="宋体" w:hAnsi="宋体" w:eastAsia="宋体" w:cs="宋体"/>
                <w:i w:val="0"/>
                <w:iCs w:val="0"/>
                <w:color w:val="000000"/>
                <w:kern w:val="0"/>
                <w:sz w:val="22"/>
                <w:szCs w:val="22"/>
                <w:u w:val="none"/>
                <w:lang w:val="en-US" w:eastAsia="zh-CN" w:bidi="ar"/>
              </w:rPr>
              <w:t>400,000.00</w:t>
            </w:r>
          </w:p>
        </w:tc>
        <w:tc>
          <w:tcPr>
            <w:tcW w:w="16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3214CD">
            <w:pPr>
              <w:keepNext w:val="0"/>
              <w:keepLines w:val="0"/>
              <w:widowControl/>
              <w:suppressLineNumbers w:val="0"/>
              <w:jc w:val="right"/>
              <w:textAlignment w:val="center"/>
              <w:rPr>
                <w:rFonts w:hint="eastAsia" w:ascii="宋体" w:hAnsi="宋体" w:cs="宋体"/>
                <w:color w:val="FF0000"/>
                <w:kern w:val="0"/>
                <w:sz w:val="24"/>
                <w:highlight w:val="none"/>
              </w:rPr>
            </w:pPr>
            <w:r>
              <w:rPr>
                <w:rFonts w:hint="eastAsia" w:ascii="宋体" w:hAnsi="宋体" w:eastAsia="宋体" w:cs="宋体"/>
                <w:i w:val="0"/>
                <w:iCs w:val="0"/>
                <w:color w:val="000000"/>
                <w:kern w:val="0"/>
                <w:sz w:val="22"/>
                <w:szCs w:val="22"/>
                <w:u w:val="none"/>
                <w:lang w:val="en-US" w:eastAsia="zh-CN" w:bidi="ar"/>
              </w:rPr>
              <w:t>400,000.00</w:t>
            </w:r>
          </w:p>
        </w:tc>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20F9B0">
            <w:pPr>
              <w:keepNext w:val="0"/>
              <w:keepLines w:val="0"/>
              <w:widowControl/>
              <w:suppressLineNumbers w:val="0"/>
              <w:jc w:val="center"/>
              <w:textAlignment w:val="center"/>
              <w:rPr>
                <w:rFonts w:hint="eastAsia" w:ascii="宋体" w:hAnsi="宋体" w:cs="宋体"/>
                <w:color w:val="FF0000"/>
                <w:kern w:val="0"/>
                <w:sz w:val="24"/>
                <w:highlight w:val="none"/>
              </w:rPr>
            </w:pPr>
            <w:r>
              <w:rPr>
                <w:rFonts w:hint="eastAsia" w:ascii="宋体" w:hAnsi="宋体" w:eastAsia="宋体" w:cs="宋体"/>
                <w:i w:val="0"/>
                <w:iCs w:val="0"/>
                <w:color w:val="000000"/>
                <w:kern w:val="0"/>
                <w:sz w:val="24"/>
                <w:szCs w:val="24"/>
                <w:u w:val="none"/>
                <w:lang w:val="en-US" w:eastAsia="zh-CN" w:bidi="ar"/>
              </w:rPr>
              <w:t xml:space="preserve">0.00 </w:t>
            </w:r>
          </w:p>
        </w:tc>
        <w:tc>
          <w:tcPr>
            <w:tcW w:w="11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BB31A1">
            <w:pPr>
              <w:keepNext w:val="0"/>
              <w:keepLines w:val="0"/>
              <w:widowControl/>
              <w:suppressLineNumbers w:val="0"/>
              <w:jc w:val="center"/>
              <w:textAlignment w:val="center"/>
              <w:rPr>
                <w:rFonts w:hint="eastAsia" w:ascii="宋体" w:hAnsi="宋体" w:cs="宋体"/>
                <w:color w:val="FF0000"/>
                <w:kern w:val="0"/>
                <w:sz w:val="24"/>
                <w:highlight w:val="none"/>
              </w:rPr>
            </w:pPr>
            <w:r>
              <w:rPr>
                <w:rFonts w:hint="eastAsia" w:ascii="宋体" w:hAnsi="宋体" w:eastAsia="宋体" w:cs="宋体"/>
                <w:i w:val="0"/>
                <w:iCs w:val="0"/>
                <w:color w:val="000000"/>
                <w:kern w:val="0"/>
                <w:sz w:val="24"/>
                <w:szCs w:val="24"/>
                <w:u w:val="none"/>
                <w:lang w:val="en-US" w:eastAsia="zh-CN" w:bidi="ar"/>
              </w:rPr>
              <w:t>100.00%</w:t>
            </w:r>
          </w:p>
        </w:tc>
      </w:tr>
      <w:tr w14:paraId="1B5AB886">
        <w:tblPrEx>
          <w:tblCellMar>
            <w:top w:w="0" w:type="dxa"/>
            <w:left w:w="0" w:type="dxa"/>
            <w:bottom w:w="0" w:type="dxa"/>
            <w:right w:w="0" w:type="dxa"/>
          </w:tblCellMar>
        </w:tblPrEx>
        <w:trPr>
          <w:trHeight w:val="285" w:hRule="atLeast"/>
        </w:trPr>
        <w:tc>
          <w:tcPr>
            <w:tcW w:w="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72CE2D">
            <w:pPr>
              <w:keepNext w:val="0"/>
              <w:keepLines w:val="0"/>
              <w:widowControl/>
              <w:suppressLineNumbers w:val="0"/>
              <w:jc w:val="center"/>
              <w:textAlignment w:val="center"/>
              <w:rPr>
                <w:rFonts w:hint="eastAsia" w:ascii="宋体" w:hAnsi="宋体" w:cs="宋体"/>
                <w:color w:val="FF0000"/>
                <w:kern w:val="0"/>
                <w:sz w:val="24"/>
                <w:highlight w:val="none"/>
              </w:rPr>
            </w:pPr>
            <w:r>
              <w:rPr>
                <w:rFonts w:hint="eastAsia" w:ascii="宋体" w:hAnsi="宋体" w:eastAsia="宋体" w:cs="宋体"/>
                <w:i w:val="0"/>
                <w:iCs w:val="0"/>
                <w:color w:val="000000"/>
                <w:kern w:val="0"/>
                <w:sz w:val="24"/>
                <w:szCs w:val="24"/>
                <w:u w:val="none"/>
                <w:lang w:val="en-US" w:eastAsia="zh-CN" w:bidi="ar"/>
              </w:rPr>
              <w:t>22</w:t>
            </w:r>
          </w:p>
        </w:tc>
        <w:tc>
          <w:tcPr>
            <w:tcW w:w="3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71853C">
            <w:pPr>
              <w:keepNext w:val="0"/>
              <w:keepLines w:val="0"/>
              <w:widowControl/>
              <w:suppressLineNumbers w:val="0"/>
              <w:jc w:val="left"/>
              <w:textAlignment w:val="center"/>
              <w:rPr>
                <w:rFonts w:hint="eastAsia" w:ascii="宋体" w:hAnsi="宋体" w:cs="宋体"/>
                <w:color w:val="FF0000"/>
                <w:kern w:val="0"/>
                <w:sz w:val="24"/>
                <w:highlight w:val="none"/>
              </w:rPr>
            </w:pPr>
            <w:r>
              <w:rPr>
                <w:rFonts w:hint="eastAsia" w:ascii="宋体" w:hAnsi="宋体" w:eastAsia="宋体" w:cs="宋体"/>
                <w:i w:val="0"/>
                <w:iCs w:val="0"/>
                <w:color w:val="000000"/>
                <w:kern w:val="0"/>
                <w:sz w:val="22"/>
                <w:szCs w:val="22"/>
                <w:u w:val="none"/>
                <w:lang w:val="en-US" w:eastAsia="zh-CN" w:bidi="ar"/>
              </w:rPr>
              <w:t>住建局自收自支人员经费</w:t>
            </w:r>
          </w:p>
        </w:tc>
        <w:tc>
          <w:tcPr>
            <w:tcW w:w="16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F5D1DF">
            <w:pPr>
              <w:keepNext w:val="0"/>
              <w:keepLines w:val="0"/>
              <w:widowControl/>
              <w:suppressLineNumbers w:val="0"/>
              <w:jc w:val="right"/>
              <w:textAlignment w:val="center"/>
              <w:rPr>
                <w:rFonts w:hint="eastAsia" w:ascii="宋体" w:hAnsi="宋体" w:cs="宋体"/>
                <w:color w:val="FF0000"/>
                <w:kern w:val="0"/>
                <w:sz w:val="24"/>
                <w:highlight w:val="none"/>
              </w:rPr>
            </w:pPr>
            <w:r>
              <w:rPr>
                <w:rFonts w:hint="eastAsia" w:ascii="宋体" w:hAnsi="宋体" w:eastAsia="宋体" w:cs="宋体"/>
                <w:i w:val="0"/>
                <w:iCs w:val="0"/>
                <w:color w:val="000000"/>
                <w:kern w:val="0"/>
                <w:sz w:val="22"/>
                <w:szCs w:val="22"/>
                <w:u w:val="none"/>
                <w:lang w:val="en-US" w:eastAsia="zh-CN" w:bidi="ar"/>
              </w:rPr>
              <w:t>3,351,321.45</w:t>
            </w:r>
          </w:p>
        </w:tc>
        <w:tc>
          <w:tcPr>
            <w:tcW w:w="16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14BC3C">
            <w:pPr>
              <w:keepNext w:val="0"/>
              <w:keepLines w:val="0"/>
              <w:widowControl/>
              <w:suppressLineNumbers w:val="0"/>
              <w:jc w:val="right"/>
              <w:textAlignment w:val="center"/>
              <w:rPr>
                <w:rFonts w:hint="eastAsia" w:ascii="宋体" w:hAnsi="宋体" w:cs="宋体"/>
                <w:color w:val="FF0000"/>
                <w:kern w:val="0"/>
                <w:sz w:val="24"/>
                <w:highlight w:val="none"/>
              </w:rPr>
            </w:pPr>
            <w:r>
              <w:rPr>
                <w:rFonts w:hint="eastAsia" w:ascii="宋体" w:hAnsi="宋体" w:eastAsia="宋体" w:cs="宋体"/>
                <w:i w:val="0"/>
                <w:iCs w:val="0"/>
                <w:color w:val="000000"/>
                <w:kern w:val="0"/>
                <w:sz w:val="22"/>
                <w:szCs w:val="22"/>
                <w:u w:val="none"/>
                <w:lang w:val="en-US" w:eastAsia="zh-CN" w:bidi="ar"/>
              </w:rPr>
              <w:t>3,351,321.45</w:t>
            </w:r>
          </w:p>
        </w:tc>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BED632">
            <w:pPr>
              <w:keepNext w:val="0"/>
              <w:keepLines w:val="0"/>
              <w:widowControl/>
              <w:suppressLineNumbers w:val="0"/>
              <w:jc w:val="center"/>
              <w:textAlignment w:val="center"/>
              <w:rPr>
                <w:rFonts w:hint="eastAsia" w:ascii="宋体" w:hAnsi="宋体" w:cs="宋体"/>
                <w:color w:val="FF0000"/>
                <w:kern w:val="0"/>
                <w:sz w:val="24"/>
                <w:highlight w:val="none"/>
              </w:rPr>
            </w:pPr>
            <w:r>
              <w:rPr>
                <w:rFonts w:hint="eastAsia" w:ascii="宋体" w:hAnsi="宋体" w:eastAsia="宋体" w:cs="宋体"/>
                <w:i w:val="0"/>
                <w:iCs w:val="0"/>
                <w:color w:val="000000"/>
                <w:kern w:val="0"/>
                <w:sz w:val="24"/>
                <w:szCs w:val="24"/>
                <w:u w:val="none"/>
                <w:lang w:val="en-US" w:eastAsia="zh-CN" w:bidi="ar"/>
              </w:rPr>
              <w:t xml:space="preserve">0.00 </w:t>
            </w:r>
          </w:p>
        </w:tc>
        <w:tc>
          <w:tcPr>
            <w:tcW w:w="11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B39C1A">
            <w:pPr>
              <w:keepNext w:val="0"/>
              <w:keepLines w:val="0"/>
              <w:widowControl/>
              <w:suppressLineNumbers w:val="0"/>
              <w:jc w:val="center"/>
              <w:textAlignment w:val="center"/>
              <w:rPr>
                <w:rFonts w:hint="eastAsia" w:ascii="宋体" w:hAnsi="宋体" w:cs="宋体"/>
                <w:color w:val="FF0000"/>
                <w:kern w:val="0"/>
                <w:sz w:val="24"/>
                <w:highlight w:val="none"/>
              </w:rPr>
            </w:pPr>
            <w:r>
              <w:rPr>
                <w:rFonts w:hint="eastAsia" w:ascii="宋体" w:hAnsi="宋体" w:eastAsia="宋体" w:cs="宋体"/>
                <w:i w:val="0"/>
                <w:iCs w:val="0"/>
                <w:color w:val="000000"/>
                <w:kern w:val="0"/>
                <w:sz w:val="24"/>
                <w:szCs w:val="24"/>
                <w:u w:val="none"/>
                <w:lang w:val="en-US" w:eastAsia="zh-CN" w:bidi="ar"/>
              </w:rPr>
              <w:t>100.00%</w:t>
            </w:r>
          </w:p>
        </w:tc>
      </w:tr>
      <w:tr w14:paraId="4F825302">
        <w:tblPrEx>
          <w:tblCellMar>
            <w:top w:w="0" w:type="dxa"/>
            <w:left w:w="0" w:type="dxa"/>
            <w:bottom w:w="0" w:type="dxa"/>
            <w:right w:w="0" w:type="dxa"/>
          </w:tblCellMar>
        </w:tblPrEx>
        <w:trPr>
          <w:trHeight w:val="285" w:hRule="atLeast"/>
        </w:trPr>
        <w:tc>
          <w:tcPr>
            <w:tcW w:w="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ED72A8">
            <w:pPr>
              <w:keepNext w:val="0"/>
              <w:keepLines w:val="0"/>
              <w:widowControl/>
              <w:suppressLineNumbers w:val="0"/>
              <w:jc w:val="center"/>
              <w:textAlignment w:val="center"/>
              <w:rPr>
                <w:rFonts w:hint="eastAsia" w:ascii="宋体" w:hAnsi="宋体" w:cs="宋体"/>
                <w:color w:val="FF0000"/>
                <w:kern w:val="0"/>
                <w:sz w:val="24"/>
                <w:highlight w:val="none"/>
              </w:rPr>
            </w:pPr>
            <w:r>
              <w:rPr>
                <w:rFonts w:hint="eastAsia" w:ascii="宋体" w:hAnsi="宋体" w:eastAsia="宋体" w:cs="宋体"/>
                <w:i w:val="0"/>
                <w:iCs w:val="0"/>
                <w:color w:val="000000"/>
                <w:kern w:val="0"/>
                <w:sz w:val="24"/>
                <w:szCs w:val="24"/>
                <w:u w:val="none"/>
                <w:lang w:val="en-US" w:eastAsia="zh-CN" w:bidi="ar"/>
              </w:rPr>
              <w:t>23</w:t>
            </w:r>
          </w:p>
        </w:tc>
        <w:tc>
          <w:tcPr>
            <w:tcW w:w="3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B0EAC8">
            <w:pPr>
              <w:keepNext w:val="0"/>
              <w:keepLines w:val="0"/>
              <w:widowControl/>
              <w:suppressLineNumbers w:val="0"/>
              <w:jc w:val="left"/>
              <w:textAlignment w:val="center"/>
              <w:rPr>
                <w:rFonts w:hint="eastAsia" w:ascii="宋体" w:hAnsi="宋体" w:cs="宋体"/>
                <w:color w:val="FF0000"/>
                <w:kern w:val="0"/>
                <w:sz w:val="24"/>
                <w:highlight w:val="none"/>
              </w:rPr>
            </w:pPr>
            <w:r>
              <w:rPr>
                <w:rFonts w:hint="eastAsia" w:ascii="宋体" w:hAnsi="宋体" w:eastAsia="宋体" w:cs="宋体"/>
                <w:i w:val="0"/>
                <w:iCs w:val="0"/>
                <w:color w:val="000000"/>
                <w:kern w:val="0"/>
                <w:sz w:val="22"/>
                <w:szCs w:val="22"/>
                <w:u w:val="none"/>
                <w:lang w:val="en-US" w:eastAsia="zh-CN" w:bidi="ar"/>
              </w:rPr>
              <w:t>谷山苑片区（一期）老旧小区改造项目</w:t>
            </w:r>
          </w:p>
        </w:tc>
        <w:tc>
          <w:tcPr>
            <w:tcW w:w="16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BEEC9D">
            <w:pPr>
              <w:keepNext w:val="0"/>
              <w:keepLines w:val="0"/>
              <w:widowControl/>
              <w:suppressLineNumbers w:val="0"/>
              <w:jc w:val="right"/>
              <w:textAlignment w:val="center"/>
              <w:rPr>
                <w:rFonts w:hint="eastAsia" w:ascii="宋体" w:hAnsi="宋体" w:cs="宋体"/>
                <w:color w:val="FF0000"/>
                <w:kern w:val="0"/>
                <w:sz w:val="24"/>
                <w:highlight w:val="none"/>
              </w:rPr>
            </w:pPr>
            <w:r>
              <w:rPr>
                <w:rFonts w:hint="eastAsia" w:ascii="宋体" w:hAnsi="宋体" w:eastAsia="宋体" w:cs="宋体"/>
                <w:i w:val="0"/>
                <w:iCs w:val="0"/>
                <w:color w:val="000000"/>
                <w:kern w:val="0"/>
                <w:sz w:val="22"/>
                <w:szCs w:val="22"/>
                <w:u w:val="none"/>
                <w:lang w:val="en-US" w:eastAsia="zh-CN" w:bidi="ar"/>
              </w:rPr>
              <w:t>59,100.00</w:t>
            </w:r>
          </w:p>
        </w:tc>
        <w:tc>
          <w:tcPr>
            <w:tcW w:w="16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CE85A3">
            <w:pPr>
              <w:keepNext w:val="0"/>
              <w:keepLines w:val="0"/>
              <w:widowControl/>
              <w:suppressLineNumbers w:val="0"/>
              <w:jc w:val="right"/>
              <w:textAlignment w:val="center"/>
              <w:rPr>
                <w:rFonts w:hint="eastAsia" w:ascii="宋体" w:hAnsi="宋体" w:cs="宋体"/>
                <w:color w:val="FF0000"/>
                <w:kern w:val="0"/>
                <w:sz w:val="24"/>
                <w:highlight w:val="none"/>
              </w:rPr>
            </w:pPr>
            <w:r>
              <w:rPr>
                <w:rFonts w:hint="eastAsia" w:ascii="宋体" w:hAnsi="宋体" w:eastAsia="宋体" w:cs="宋体"/>
                <w:i w:val="0"/>
                <w:iCs w:val="0"/>
                <w:color w:val="000000"/>
                <w:kern w:val="0"/>
                <w:sz w:val="22"/>
                <w:szCs w:val="22"/>
                <w:u w:val="none"/>
                <w:lang w:val="en-US" w:eastAsia="zh-CN" w:bidi="ar"/>
              </w:rPr>
              <w:t>59,100.00</w:t>
            </w:r>
          </w:p>
        </w:tc>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3D357B">
            <w:pPr>
              <w:keepNext w:val="0"/>
              <w:keepLines w:val="0"/>
              <w:widowControl/>
              <w:suppressLineNumbers w:val="0"/>
              <w:jc w:val="center"/>
              <w:textAlignment w:val="center"/>
              <w:rPr>
                <w:rFonts w:hint="eastAsia" w:ascii="宋体" w:hAnsi="宋体" w:cs="宋体"/>
                <w:color w:val="FF0000"/>
                <w:kern w:val="0"/>
                <w:sz w:val="24"/>
                <w:highlight w:val="none"/>
              </w:rPr>
            </w:pPr>
            <w:r>
              <w:rPr>
                <w:rFonts w:hint="eastAsia" w:ascii="宋体" w:hAnsi="宋体" w:eastAsia="宋体" w:cs="宋体"/>
                <w:i w:val="0"/>
                <w:iCs w:val="0"/>
                <w:color w:val="000000"/>
                <w:kern w:val="0"/>
                <w:sz w:val="24"/>
                <w:szCs w:val="24"/>
                <w:u w:val="none"/>
                <w:lang w:val="en-US" w:eastAsia="zh-CN" w:bidi="ar"/>
              </w:rPr>
              <w:t xml:space="preserve">0.00 </w:t>
            </w:r>
          </w:p>
        </w:tc>
        <w:tc>
          <w:tcPr>
            <w:tcW w:w="11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EBDED6">
            <w:pPr>
              <w:keepNext w:val="0"/>
              <w:keepLines w:val="0"/>
              <w:widowControl/>
              <w:suppressLineNumbers w:val="0"/>
              <w:jc w:val="center"/>
              <w:textAlignment w:val="center"/>
              <w:rPr>
                <w:rFonts w:hint="eastAsia" w:ascii="宋体" w:hAnsi="宋体" w:cs="宋体"/>
                <w:color w:val="FF0000"/>
                <w:kern w:val="0"/>
                <w:sz w:val="24"/>
                <w:highlight w:val="none"/>
              </w:rPr>
            </w:pPr>
            <w:r>
              <w:rPr>
                <w:rFonts w:hint="eastAsia" w:ascii="宋体" w:hAnsi="宋体" w:eastAsia="宋体" w:cs="宋体"/>
                <w:i w:val="0"/>
                <w:iCs w:val="0"/>
                <w:color w:val="000000"/>
                <w:kern w:val="0"/>
                <w:sz w:val="24"/>
                <w:szCs w:val="24"/>
                <w:u w:val="none"/>
                <w:lang w:val="en-US" w:eastAsia="zh-CN" w:bidi="ar"/>
              </w:rPr>
              <w:t>100.00%</w:t>
            </w:r>
          </w:p>
        </w:tc>
      </w:tr>
      <w:tr w14:paraId="79E0120A">
        <w:tblPrEx>
          <w:tblCellMar>
            <w:top w:w="0" w:type="dxa"/>
            <w:left w:w="0" w:type="dxa"/>
            <w:bottom w:w="0" w:type="dxa"/>
            <w:right w:w="0" w:type="dxa"/>
          </w:tblCellMar>
        </w:tblPrEx>
        <w:trPr>
          <w:trHeight w:val="285" w:hRule="atLeast"/>
        </w:trPr>
        <w:tc>
          <w:tcPr>
            <w:tcW w:w="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5C569D">
            <w:pPr>
              <w:keepNext w:val="0"/>
              <w:keepLines w:val="0"/>
              <w:widowControl/>
              <w:suppressLineNumbers w:val="0"/>
              <w:jc w:val="center"/>
              <w:textAlignment w:val="center"/>
              <w:rPr>
                <w:rFonts w:hint="eastAsia" w:ascii="宋体" w:hAnsi="宋体" w:cs="宋体"/>
                <w:color w:val="FF0000"/>
                <w:kern w:val="0"/>
                <w:sz w:val="24"/>
                <w:highlight w:val="none"/>
              </w:rPr>
            </w:pPr>
            <w:r>
              <w:rPr>
                <w:rFonts w:hint="eastAsia" w:ascii="宋体" w:hAnsi="宋体" w:eastAsia="宋体" w:cs="宋体"/>
                <w:i w:val="0"/>
                <w:iCs w:val="0"/>
                <w:color w:val="000000"/>
                <w:kern w:val="0"/>
                <w:sz w:val="24"/>
                <w:szCs w:val="24"/>
                <w:u w:val="none"/>
                <w:lang w:val="en-US" w:eastAsia="zh-CN" w:bidi="ar"/>
              </w:rPr>
              <w:t>24</w:t>
            </w:r>
          </w:p>
        </w:tc>
        <w:tc>
          <w:tcPr>
            <w:tcW w:w="3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A9A1E0">
            <w:pPr>
              <w:keepNext w:val="0"/>
              <w:keepLines w:val="0"/>
              <w:widowControl/>
              <w:suppressLineNumbers w:val="0"/>
              <w:jc w:val="left"/>
              <w:textAlignment w:val="center"/>
              <w:rPr>
                <w:rFonts w:hint="eastAsia" w:ascii="宋体" w:hAnsi="宋体" w:cs="宋体"/>
                <w:color w:val="FF0000"/>
                <w:kern w:val="0"/>
                <w:sz w:val="24"/>
                <w:highlight w:val="none"/>
              </w:rPr>
            </w:pPr>
            <w:r>
              <w:rPr>
                <w:rFonts w:hint="eastAsia" w:ascii="宋体" w:hAnsi="宋体" w:eastAsia="宋体" w:cs="宋体"/>
                <w:i w:val="0"/>
                <w:iCs w:val="0"/>
                <w:color w:val="000000"/>
                <w:kern w:val="0"/>
                <w:sz w:val="22"/>
                <w:szCs w:val="22"/>
                <w:u w:val="none"/>
                <w:lang w:val="en-US" w:eastAsia="zh-CN" w:bidi="ar"/>
              </w:rPr>
              <w:t>自建房安全专项整治专班工作经费</w:t>
            </w:r>
          </w:p>
        </w:tc>
        <w:tc>
          <w:tcPr>
            <w:tcW w:w="16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CBABE8">
            <w:pPr>
              <w:keepNext w:val="0"/>
              <w:keepLines w:val="0"/>
              <w:widowControl/>
              <w:suppressLineNumbers w:val="0"/>
              <w:jc w:val="right"/>
              <w:textAlignment w:val="center"/>
              <w:rPr>
                <w:rFonts w:hint="eastAsia" w:ascii="宋体" w:hAnsi="宋体" w:cs="宋体"/>
                <w:color w:val="FF0000"/>
                <w:kern w:val="0"/>
                <w:sz w:val="24"/>
                <w:highlight w:val="none"/>
              </w:rPr>
            </w:pPr>
            <w:r>
              <w:rPr>
                <w:rFonts w:hint="eastAsia" w:ascii="宋体" w:hAnsi="宋体" w:eastAsia="宋体" w:cs="宋体"/>
                <w:i w:val="0"/>
                <w:iCs w:val="0"/>
                <w:color w:val="000000"/>
                <w:kern w:val="0"/>
                <w:sz w:val="22"/>
                <w:szCs w:val="22"/>
                <w:u w:val="none"/>
                <w:lang w:val="en-US" w:eastAsia="zh-CN" w:bidi="ar"/>
              </w:rPr>
              <w:t>73,985.28</w:t>
            </w:r>
          </w:p>
        </w:tc>
        <w:tc>
          <w:tcPr>
            <w:tcW w:w="16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2F652D">
            <w:pPr>
              <w:keepNext w:val="0"/>
              <w:keepLines w:val="0"/>
              <w:widowControl/>
              <w:suppressLineNumbers w:val="0"/>
              <w:jc w:val="right"/>
              <w:textAlignment w:val="center"/>
              <w:rPr>
                <w:rFonts w:hint="eastAsia" w:ascii="宋体" w:hAnsi="宋体" w:cs="宋体"/>
                <w:color w:val="FF0000"/>
                <w:kern w:val="0"/>
                <w:sz w:val="24"/>
                <w:highlight w:val="none"/>
              </w:rPr>
            </w:pPr>
            <w:r>
              <w:rPr>
                <w:rFonts w:hint="eastAsia" w:ascii="宋体" w:hAnsi="宋体" w:eastAsia="宋体" w:cs="宋体"/>
                <w:i w:val="0"/>
                <w:iCs w:val="0"/>
                <w:color w:val="000000"/>
                <w:kern w:val="0"/>
                <w:sz w:val="22"/>
                <w:szCs w:val="22"/>
                <w:u w:val="none"/>
                <w:lang w:val="en-US" w:eastAsia="zh-CN" w:bidi="ar"/>
              </w:rPr>
              <w:t>73,985.28</w:t>
            </w:r>
          </w:p>
        </w:tc>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82066F">
            <w:pPr>
              <w:keepNext w:val="0"/>
              <w:keepLines w:val="0"/>
              <w:widowControl/>
              <w:suppressLineNumbers w:val="0"/>
              <w:jc w:val="center"/>
              <w:textAlignment w:val="center"/>
              <w:rPr>
                <w:rFonts w:hint="eastAsia" w:ascii="宋体" w:hAnsi="宋体" w:cs="宋体"/>
                <w:color w:val="FF0000"/>
                <w:kern w:val="0"/>
                <w:sz w:val="24"/>
                <w:highlight w:val="none"/>
              </w:rPr>
            </w:pPr>
            <w:r>
              <w:rPr>
                <w:rFonts w:hint="eastAsia" w:ascii="宋体" w:hAnsi="宋体" w:eastAsia="宋体" w:cs="宋体"/>
                <w:i w:val="0"/>
                <w:iCs w:val="0"/>
                <w:color w:val="000000"/>
                <w:kern w:val="0"/>
                <w:sz w:val="24"/>
                <w:szCs w:val="24"/>
                <w:u w:val="none"/>
                <w:lang w:val="en-US" w:eastAsia="zh-CN" w:bidi="ar"/>
              </w:rPr>
              <w:t xml:space="preserve">0.00 </w:t>
            </w:r>
          </w:p>
        </w:tc>
        <w:tc>
          <w:tcPr>
            <w:tcW w:w="11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CCAB2E">
            <w:pPr>
              <w:keepNext w:val="0"/>
              <w:keepLines w:val="0"/>
              <w:widowControl/>
              <w:suppressLineNumbers w:val="0"/>
              <w:jc w:val="center"/>
              <w:textAlignment w:val="center"/>
              <w:rPr>
                <w:rFonts w:hint="eastAsia" w:ascii="宋体" w:hAnsi="宋体" w:cs="宋体"/>
                <w:color w:val="FF0000"/>
                <w:kern w:val="0"/>
                <w:sz w:val="24"/>
                <w:highlight w:val="none"/>
              </w:rPr>
            </w:pPr>
            <w:r>
              <w:rPr>
                <w:rFonts w:hint="eastAsia" w:ascii="宋体" w:hAnsi="宋体" w:eastAsia="宋体" w:cs="宋体"/>
                <w:i w:val="0"/>
                <w:iCs w:val="0"/>
                <w:color w:val="000000"/>
                <w:kern w:val="0"/>
                <w:sz w:val="24"/>
                <w:szCs w:val="24"/>
                <w:u w:val="none"/>
                <w:lang w:val="en-US" w:eastAsia="zh-CN" w:bidi="ar"/>
              </w:rPr>
              <w:t>100.00%</w:t>
            </w:r>
          </w:p>
        </w:tc>
      </w:tr>
      <w:tr w14:paraId="6BFFE60B">
        <w:tblPrEx>
          <w:tblCellMar>
            <w:top w:w="0" w:type="dxa"/>
            <w:left w:w="0" w:type="dxa"/>
            <w:bottom w:w="0" w:type="dxa"/>
            <w:right w:w="0" w:type="dxa"/>
          </w:tblCellMar>
        </w:tblPrEx>
        <w:trPr>
          <w:trHeight w:val="285" w:hRule="atLeast"/>
        </w:trPr>
        <w:tc>
          <w:tcPr>
            <w:tcW w:w="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61F830">
            <w:pPr>
              <w:keepNext w:val="0"/>
              <w:keepLines w:val="0"/>
              <w:widowControl/>
              <w:suppressLineNumbers w:val="0"/>
              <w:jc w:val="center"/>
              <w:textAlignment w:val="center"/>
              <w:rPr>
                <w:rFonts w:hint="eastAsia" w:ascii="宋体" w:hAnsi="宋体" w:cs="宋体"/>
                <w:color w:val="FF0000"/>
                <w:kern w:val="0"/>
                <w:sz w:val="24"/>
                <w:highlight w:val="none"/>
              </w:rPr>
            </w:pPr>
            <w:r>
              <w:rPr>
                <w:rFonts w:hint="eastAsia" w:ascii="宋体" w:hAnsi="宋体" w:eastAsia="宋体" w:cs="宋体"/>
                <w:i w:val="0"/>
                <w:iCs w:val="0"/>
                <w:color w:val="000000"/>
                <w:kern w:val="0"/>
                <w:sz w:val="24"/>
                <w:szCs w:val="24"/>
                <w:u w:val="none"/>
                <w:lang w:val="en-US" w:eastAsia="zh-CN" w:bidi="ar"/>
              </w:rPr>
              <w:t>25</w:t>
            </w:r>
          </w:p>
        </w:tc>
        <w:tc>
          <w:tcPr>
            <w:tcW w:w="3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9F67DD">
            <w:pPr>
              <w:keepNext w:val="0"/>
              <w:keepLines w:val="0"/>
              <w:widowControl/>
              <w:suppressLineNumbers w:val="0"/>
              <w:jc w:val="left"/>
              <w:textAlignment w:val="center"/>
              <w:rPr>
                <w:rFonts w:hint="eastAsia" w:ascii="宋体" w:hAnsi="宋体" w:cs="宋体"/>
                <w:color w:val="FF0000"/>
                <w:kern w:val="0"/>
                <w:sz w:val="24"/>
                <w:highlight w:val="none"/>
              </w:rPr>
            </w:pPr>
            <w:r>
              <w:rPr>
                <w:rFonts w:hint="eastAsia" w:ascii="宋体" w:hAnsi="宋体" w:eastAsia="宋体" w:cs="宋体"/>
                <w:i w:val="0"/>
                <w:iCs w:val="0"/>
                <w:color w:val="000000"/>
                <w:kern w:val="0"/>
                <w:sz w:val="22"/>
                <w:szCs w:val="22"/>
                <w:u w:val="none"/>
                <w:lang w:val="en-US" w:eastAsia="zh-CN" w:bidi="ar"/>
              </w:rPr>
              <w:t>老旧小区改造原饮食公司住宿楼老旧小区改造项目</w:t>
            </w:r>
          </w:p>
        </w:tc>
        <w:tc>
          <w:tcPr>
            <w:tcW w:w="16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92F548">
            <w:pPr>
              <w:keepNext w:val="0"/>
              <w:keepLines w:val="0"/>
              <w:widowControl/>
              <w:suppressLineNumbers w:val="0"/>
              <w:jc w:val="right"/>
              <w:textAlignment w:val="center"/>
              <w:rPr>
                <w:rFonts w:hint="eastAsia" w:ascii="宋体" w:hAnsi="宋体" w:cs="宋体"/>
                <w:color w:val="FF0000"/>
                <w:kern w:val="0"/>
                <w:sz w:val="24"/>
                <w:highlight w:val="none"/>
              </w:rPr>
            </w:pPr>
            <w:r>
              <w:rPr>
                <w:rFonts w:hint="eastAsia" w:ascii="宋体" w:hAnsi="宋体" w:eastAsia="宋体" w:cs="宋体"/>
                <w:i w:val="0"/>
                <w:iCs w:val="0"/>
                <w:color w:val="000000"/>
                <w:kern w:val="0"/>
                <w:sz w:val="22"/>
                <w:szCs w:val="22"/>
                <w:u w:val="none"/>
                <w:lang w:val="en-US" w:eastAsia="zh-CN" w:bidi="ar"/>
              </w:rPr>
              <w:t>365,313.65</w:t>
            </w:r>
          </w:p>
        </w:tc>
        <w:tc>
          <w:tcPr>
            <w:tcW w:w="16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7C1DEC">
            <w:pPr>
              <w:keepNext w:val="0"/>
              <w:keepLines w:val="0"/>
              <w:widowControl/>
              <w:suppressLineNumbers w:val="0"/>
              <w:jc w:val="right"/>
              <w:textAlignment w:val="center"/>
              <w:rPr>
                <w:rFonts w:hint="eastAsia" w:ascii="宋体" w:hAnsi="宋体" w:cs="宋体"/>
                <w:color w:val="FF0000"/>
                <w:kern w:val="0"/>
                <w:sz w:val="24"/>
                <w:highlight w:val="none"/>
              </w:rPr>
            </w:pPr>
            <w:r>
              <w:rPr>
                <w:rFonts w:hint="eastAsia" w:ascii="宋体" w:hAnsi="宋体" w:eastAsia="宋体" w:cs="宋体"/>
                <w:i w:val="0"/>
                <w:iCs w:val="0"/>
                <w:color w:val="000000"/>
                <w:kern w:val="0"/>
                <w:sz w:val="22"/>
                <w:szCs w:val="22"/>
                <w:u w:val="none"/>
                <w:lang w:val="en-US" w:eastAsia="zh-CN" w:bidi="ar"/>
              </w:rPr>
              <w:t>365,313.65</w:t>
            </w:r>
          </w:p>
        </w:tc>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B475B5">
            <w:pPr>
              <w:keepNext w:val="0"/>
              <w:keepLines w:val="0"/>
              <w:widowControl/>
              <w:suppressLineNumbers w:val="0"/>
              <w:jc w:val="center"/>
              <w:textAlignment w:val="center"/>
              <w:rPr>
                <w:rFonts w:hint="eastAsia" w:ascii="宋体" w:hAnsi="宋体" w:cs="宋体"/>
                <w:color w:val="FF0000"/>
                <w:kern w:val="0"/>
                <w:sz w:val="24"/>
                <w:highlight w:val="none"/>
              </w:rPr>
            </w:pPr>
            <w:r>
              <w:rPr>
                <w:rFonts w:hint="eastAsia" w:ascii="宋体" w:hAnsi="宋体" w:eastAsia="宋体" w:cs="宋体"/>
                <w:i w:val="0"/>
                <w:iCs w:val="0"/>
                <w:color w:val="000000"/>
                <w:kern w:val="0"/>
                <w:sz w:val="24"/>
                <w:szCs w:val="24"/>
                <w:u w:val="none"/>
                <w:lang w:val="en-US" w:eastAsia="zh-CN" w:bidi="ar"/>
              </w:rPr>
              <w:t xml:space="preserve">0.00 </w:t>
            </w:r>
          </w:p>
        </w:tc>
        <w:tc>
          <w:tcPr>
            <w:tcW w:w="11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7B88D5">
            <w:pPr>
              <w:keepNext w:val="0"/>
              <w:keepLines w:val="0"/>
              <w:widowControl/>
              <w:suppressLineNumbers w:val="0"/>
              <w:jc w:val="center"/>
              <w:textAlignment w:val="center"/>
              <w:rPr>
                <w:rFonts w:hint="eastAsia" w:ascii="宋体" w:hAnsi="宋体" w:cs="宋体"/>
                <w:color w:val="FF0000"/>
                <w:kern w:val="0"/>
                <w:sz w:val="24"/>
                <w:highlight w:val="none"/>
              </w:rPr>
            </w:pPr>
            <w:r>
              <w:rPr>
                <w:rFonts w:hint="eastAsia" w:ascii="宋体" w:hAnsi="宋体" w:eastAsia="宋体" w:cs="宋体"/>
                <w:i w:val="0"/>
                <w:iCs w:val="0"/>
                <w:color w:val="000000"/>
                <w:kern w:val="0"/>
                <w:sz w:val="24"/>
                <w:szCs w:val="24"/>
                <w:u w:val="none"/>
                <w:lang w:val="en-US" w:eastAsia="zh-CN" w:bidi="ar"/>
              </w:rPr>
              <w:t>100.00%</w:t>
            </w:r>
          </w:p>
        </w:tc>
      </w:tr>
      <w:tr w14:paraId="7C54CC0F">
        <w:tblPrEx>
          <w:tblCellMar>
            <w:top w:w="0" w:type="dxa"/>
            <w:left w:w="0" w:type="dxa"/>
            <w:bottom w:w="0" w:type="dxa"/>
            <w:right w:w="0" w:type="dxa"/>
          </w:tblCellMar>
        </w:tblPrEx>
        <w:trPr>
          <w:trHeight w:val="285" w:hRule="atLeast"/>
        </w:trPr>
        <w:tc>
          <w:tcPr>
            <w:tcW w:w="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E7AFD7">
            <w:pPr>
              <w:keepNext w:val="0"/>
              <w:keepLines w:val="0"/>
              <w:widowControl/>
              <w:suppressLineNumbers w:val="0"/>
              <w:jc w:val="center"/>
              <w:textAlignment w:val="center"/>
              <w:rPr>
                <w:rFonts w:hint="eastAsia" w:ascii="宋体" w:hAnsi="宋体" w:cs="宋体"/>
                <w:color w:val="FF0000"/>
                <w:kern w:val="0"/>
                <w:sz w:val="24"/>
                <w:highlight w:val="none"/>
              </w:rPr>
            </w:pPr>
            <w:r>
              <w:rPr>
                <w:rFonts w:hint="eastAsia" w:ascii="宋体" w:hAnsi="宋体" w:eastAsia="宋体" w:cs="宋体"/>
                <w:i w:val="0"/>
                <w:iCs w:val="0"/>
                <w:color w:val="000000"/>
                <w:kern w:val="0"/>
                <w:sz w:val="24"/>
                <w:szCs w:val="24"/>
                <w:u w:val="none"/>
                <w:lang w:val="en-US" w:eastAsia="zh-CN" w:bidi="ar"/>
              </w:rPr>
              <w:t>26</w:t>
            </w:r>
          </w:p>
        </w:tc>
        <w:tc>
          <w:tcPr>
            <w:tcW w:w="3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C98AF6">
            <w:pPr>
              <w:keepNext w:val="0"/>
              <w:keepLines w:val="0"/>
              <w:widowControl/>
              <w:suppressLineNumbers w:val="0"/>
              <w:jc w:val="left"/>
              <w:textAlignment w:val="center"/>
              <w:rPr>
                <w:rFonts w:hint="eastAsia" w:ascii="宋体" w:hAnsi="宋体" w:cs="宋体"/>
                <w:color w:val="FF0000"/>
                <w:kern w:val="0"/>
                <w:sz w:val="24"/>
                <w:highlight w:val="none"/>
              </w:rPr>
            </w:pPr>
            <w:r>
              <w:rPr>
                <w:rFonts w:hint="eastAsia" w:ascii="宋体" w:hAnsi="宋体" w:eastAsia="宋体" w:cs="宋体"/>
                <w:i w:val="0"/>
                <w:iCs w:val="0"/>
                <w:color w:val="000000"/>
                <w:kern w:val="0"/>
                <w:sz w:val="22"/>
                <w:szCs w:val="22"/>
                <w:u w:val="none"/>
                <w:lang w:val="en-US" w:eastAsia="zh-CN" w:bidi="ar"/>
              </w:rPr>
              <w:t>非经营性自建房快速评估费补贴资金</w:t>
            </w:r>
          </w:p>
        </w:tc>
        <w:tc>
          <w:tcPr>
            <w:tcW w:w="16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D8000D">
            <w:pPr>
              <w:keepNext w:val="0"/>
              <w:keepLines w:val="0"/>
              <w:widowControl/>
              <w:suppressLineNumbers w:val="0"/>
              <w:jc w:val="right"/>
              <w:textAlignment w:val="center"/>
              <w:rPr>
                <w:rFonts w:hint="eastAsia" w:ascii="宋体" w:hAnsi="宋体" w:cs="宋体"/>
                <w:color w:val="FF0000"/>
                <w:kern w:val="0"/>
                <w:sz w:val="24"/>
                <w:highlight w:val="none"/>
              </w:rPr>
            </w:pPr>
            <w:r>
              <w:rPr>
                <w:rFonts w:hint="eastAsia" w:ascii="宋体" w:hAnsi="宋体" w:eastAsia="宋体" w:cs="宋体"/>
                <w:i w:val="0"/>
                <w:iCs w:val="0"/>
                <w:color w:val="000000"/>
                <w:kern w:val="0"/>
                <w:sz w:val="22"/>
                <w:szCs w:val="22"/>
                <w:u w:val="none"/>
                <w:lang w:val="en-US" w:eastAsia="zh-CN" w:bidi="ar"/>
              </w:rPr>
              <w:t>855,600.00</w:t>
            </w:r>
          </w:p>
        </w:tc>
        <w:tc>
          <w:tcPr>
            <w:tcW w:w="16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6BA085">
            <w:pPr>
              <w:keepNext w:val="0"/>
              <w:keepLines w:val="0"/>
              <w:widowControl/>
              <w:suppressLineNumbers w:val="0"/>
              <w:jc w:val="right"/>
              <w:textAlignment w:val="center"/>
              <w:rPr>
                <w:rFonts w:hint="eastAsia" w:ascii="宋体" w:hAnsi="宋体" w:cs="宋体"/>
                <w:color w:val="FF0000"/>
                <w:kern w:val="0"/>
                <w:sz w:val="24"/>
                <w:highlight w:val="none"/>
              </w:rPr>
            </w:pPr>
            <w:r>
              <w:rPr>
                <w:rFonts w:hint="eastAsia" w:ascii="宋体" w:hAnsi="宋体" w:eastAsia="宋体" w:cs="宋体"/>
                <w:i w:val="0"/>
                <w:iCs w:val="0"/>
                <w:color w:val="000000"/>
                <w:kern w:val="0"/>
                <w:sz w:val="22"/>
                <w:szCs w:val="22"/>
                <w:u w:val="none"/>
                <w:lang w:val="en-US" w:eastAsia="zh-CN" w:bidi="ar"/>
              </w:rPr>
              <w:t>855,600.00</w:t>
            </w:r>
          </w:p>
        </w:tc>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86CFF0">
            <w:pPr>
              <w:keepNext w:val="0"/>
              <w:keepLines w:val="0"/>
              <w:widowControl/>
              <w:suppressLineNumbers w:val="0"/>
              <w:jc w:val="center"/>
              <w:textAlignment w:val="center"/>
              <w:rPr>
                <w:rFonts w:hint="eastAsia" w:ascii="宋体" w:hAnsi="宋体" w:cs="宋体"/>
                <w:color w:val="FF0000"/>
                <w:kern w:val="0"/>
                <w:sz w:val="24"/>
                <w:highlight w:val="none"/>
              </w:rPr>
            </w:pPr>
            <w:r>
              <w:rPr>
                <w:rFonts w:hint="eastAsia" w:ascii="宋体" w:hAnsi="宋体" w:eastAsia="宋体" w:cs="宋体"/>
                <w:i w:val="0"/>
                <w:iCs w:val="0"/>
                <w:color w:val="000000"/>
                <w:kern w:val="0"/>
                <w:sz w:val="24"/>
                <w:szCs w:val="24"/>
                <w:u w:val="none"/>
                <w:lang w:val="en-US" w:eastAsia="zh-CN" w:bidi="ar"/>
              </w:rPr>
              <w:t xml:space="preserve">0.00 </w:t>
            </w:r>
          </w:p>
        </w:tc>
        <w:tc>
          <w:tcPr>
            <w:tcW w:w="11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8FDC26">
            <w:pPr>
              <w:keepNext w:val="0"/>
              <w:keepLines w:val="0"/>
              <w:widowControl/>
              <w:suppressLineNumbers w:val="0"/>
              <w:jc w:val="center"/>
              <w:textAlignment w:val="center"/>
              <w:rPr>
                <w:rFonts w:hint="eastAsia" w:ascii="宋体" w:hAnsi="宋体" w:cs="宋体"/>
                <w:color w:val="FF0000"/>
                <w:kern w:val="0"/>
                <w:sz w:val="24"/>
                <w:highlight w:val="none"/>
              </w:rPr>
            </w:pPr>
            <w:r>
              <w:rPr>
                <w:rFonts w:hint="eastAsia" w:ascii="宋体" w:hAnsi="宋体" w:eastAsia="宋体" w:cs="宋体"/>
                <w:i w:val="0"/>
                <w:iCs w:val="0"/>
                <w:color w:val="000000"/>
                <w:kern w:val="0"/>
                <w:sz w:val="24"/>
                <w:szCs w:val="24"/>
                <w:u w:val="none"/>
                <w:lang w:val="en-US" w:eastAsia="zh-CN" w:bidi="ar"/>
              </w:rPr>
              <w:t>100.00%</w:t>
            </w:r>
          </w:p>
        </w:tc>
      </w:tr>
      <w:tr w14:paraId="368FBCA3">
        <w:tblPrEx>
          <w:tblCellMar>
            <w:top w:w="0" w:type="dxa"/>
            <w:left w:w="0" w:type="dxa"/>
            <w:bottom w:w="0" w:type="dxa"/>
            <w:right w:w="0" w:type="dxa"/>
          </w:tblCellMar>
        </w:tblPrEx>
        <w:trPr>
          <w:trHeight w:val="285" w:hRule="atLeast"/>
        </w:trPr>
        <w:tc>
          <w:tcPr>
            <w:tcW w:w="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C46D13">
            <w:pPr>
              <w:keepNext w:val="0"/>
              <w:keepLines w:val="0"/>
              <w:widowControl/>
              <w:suppressLineNumbers w:val="0"/>
              <w:jc w:val="center"/>
              <w:textAlignment w:val="center"/>
              <w:rPr>
                <w:rFonts w:hint="eastAsia" w:ascii="宋体" w:hAnsi="宋体" w:cs="宋体"/>
                <w:color w:val="FF0000"/>
                <w:kern w:val="0"/>
                <w:sz w:val="24"/>
                <w:highlight w:val="none"/>
              </w:rPr>
            </w:pPr>
            <w:r>
              <w:rPr>
                <w:rFonts w:hint="eastAsia" w:ascii="宋体" w:hAnsi="宋体" w:eastAsia="宋体" w:cs="宋体"/>
                <w:i w:val="0"/>
                <w:iCs w:val="0"/>
                <w:color w:val="000000"/>
                <w:kern w:val="0"/>
                <w:sz w:val="24"/>
                <w:szCs w:val="24"/>
                <w:u w:val="none"/>
                <w:lang w:val="en-US" w:eastAsia="zh-CN" w:bidi="ar"/>
              </w:rPr>
              <w:t>27</w:t>
            </w:r>
          </w:p>
        </w:tc>
        <w:tc>
          <w:tcPr>
            <w:tcW w:w="3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6AD814">
            <w:pPr>
              <w:keepNext w:val="0"/>
              <w:keepLines w:val="0"/>
              <w:widowControl/>
              <w:suppressLineNumbers w:val="0"/>
              <w:jc w:val="left"/>
              <w:textAlignment w:val="center"/>
              <w:rPr>
                <w:rFonts w:hint="eastAsia" w:ascii="宋体" w:hAnsi="宋体" w:cs="宋体"/>
                <w:color w:val="FF0000"/>
                <w:kern w:val="0"/>
                <w:sz w:val="24"/>
                <w:highlight w:val="none"/>
              </w:rPr>
            </w:pPr>
            <w:r>
              <w:rPr>
                <w:rFonts w:hint="eastAsia" w:ascii="宋体" w:hAnsi="宋体" w:eastAsia="宋体" w:cs="宋体"/>
                <w:i w:val="0"/>
                <w:iCs w:val="0"/>
                <w:color w:val="000000"/>
                <w:kern w:val="0"/>
                <w:sz w:val="22"/>
                <w:szCs w:val="22"/>
                <w:u w:val="none"/>
                <w:lang w:val="en-US" w:eastAsia="zh-CN" w:bidi="ar"/>
              </w:rPr>
              <w:t>2022年第三批保障性安居工程中央预算内基建资金</w:t>
            </w:r>
          </w:p>
        </w:tc>
        <w:tc>
          <w:tcPr>
            <w:tcW w:w="16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B2A7D7">
            <w:pPr>
              <w:keepNext w:val="0"/>
              <w:keepLines w:val="0"/>
              <w:widowControl/>
              <w:suppressLineNumbers w:val="0"/>
              <w:jc w:val="right"/>
              <w:textAlignment w:val="center"/>
              <w:rPr>
                <w:rFonts w:hint="eastAsia" w:ascii="宋体" w:hAnsi="宋体" w:cs="宋体"/>
                <w:color w:val="FF0000"/>
                <w:kern w:val="0"/>
                <w:sz w:val="24"/>
                <w:highlight w:val="none"/>
              </w:rPr>
            </w:pPr>
            <w:r>
              <w:rPr>
                <w:rFonts w:hint="eastAsia" w:ascii="宋体" w:hAnsi="宋体" w:eastAsia="宋体" w:cs="宋体"/>
                <w:i w:val="0"/>
                <w:iCs w:val="0"/>
                <w:color w:val="000000"/>
                <w:kern w:val="0"/>
                <w:sz w:val="22"/>
                <w:szCs w:val="22"/>
                <w:u w:val="none"/>
                <w:lang w:val="en-US" w:eastAsia="zh-CN" w:bidi="ar"/>
              </w:rPr>
              <w:t>2,000,000.00</w:t>
            </w:r>
          </w:p>
        </w:tc>
        <w:tc>
          <w:tcPr>
            <w:tcW w:w="16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109061">
            <w:pPr>
              <w:keepNext w:val="0"/>
              <w:keepLines w:val="0"/>
              <w:widowControl/>
              <w:suppressLineNumbers w:val="0"/>
              <w:jc w:val="right"/>
              <w:textAlignment w:val="center"/>
              <w:rPr>
                <w:rFonts w:hint="eastAsia" w:ascii="宋体" w:hAnsi="宋体" w:cs="宋体"/>
                <w:color w:val="FF0000"/>
                <w:kern w:val="0"/>
                <w:sz w:val="24"/>
                <w:highlight w:val="none"/>
              </w:rPr>
            </w:pPr>
            <w:r>
              <w:rPr>
                <w:rFonts w:hint="eastAsia" w:ascii="宋体" w:hAnsi="宋体" w:eastAsia="宋体" w:cs="宋体"/>
                <w:i w:val="0"/>
                <w:iCs w:val="0"/>
                <w:color w:val="000000"/>
                <w:kern w:val="0"/>
                <w:sz w:val="22"/>
                <w:szCs w:val="22"/>
                <w:u w:val="none"/>
                <w:lang w:val="en-US" w:eastAsia="zh-CN" w:bidi="ar"/>
              </w:rPr>
              <w:t>2,000,000.00</w:t>
            </w:r>
          </w:p>
        </w:tc>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A0118D">
            <w:pPr>
              <w:keepNext w:val="0"/>
              <w:keepLines w:val="0"/>
              <w:widowControl/>
              <w:suppressLineNumbers w:val="0"/>
              <w:jc w:val="center"/>
              <w:textAlignment w:val="center"/>
              <w:rPr>
                <w:rFonts w:hint="eastAsia" w:ascii="宋体" w:hAnsi="宋体" w:cs="宋体"/>
                <w:color w:val="FF0000"/>
                <w:kern w:val="0"/>
                <w:sz w:val="24"/>
                <w:highlight w:val="none"/>
              </w:rPr>
            </w:pPr>
            <w:r>
              <w:rPr>
                <w:rFonts w:hint="eastAsia" w:ascii="宋体" w:hAnsi="宋体" w:eastAsia="宋体" w:cs="宋体"/>
                <w:i w:val="0"/>
                <w:iCs w:val="0"/>
                <w:color w:val="000000"/>
                <w:kern w:val="0"/>
                <w:sz w:val="24"/>
                <w:szCs w:val="24"/>
                <w:u w:val="none"/>
                <w:lang w:val="en-US" w:eastAsia="zh-CN" w:bidi="ar"/>
              </w:rPr>
              <w:t xml:space="preserve">0.00 </w:t>
            </w:r>
          </w:p>
        </w:tc>
        <w:tc>
          <w:tcPr>
            <w:tcW w:w="11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ED0B08">
            <w:pPr>
              <w:keepNext w:val="0"/>
              <w:keepLines w:val="0"/>
              <w:widowControl/>
              <w:suppressLineNumbers w:val="0"/>
              <w:jc w:val="center"/>
              <w:textAlignment w:val="center"/>
              <w:rPr>
                <w:rFonts w:hint="eastAsia" w:ascii="宋体" w:hAnsi="宋体" w:cs="宋体"/>
                <w:color w:val="FF0000"/>
                <w:kern w:val="0"/>
                <w:sz w:val="24"/>
                <w:highlight w:val="none"/>
              </w:rPr>
            </w:pPr>
            <w:r>
              <w:rPr>
                <w:rFonts w:hint="eastAsia" w:ascii="宋体" w:hAnsi="宋体" w:eastAsia="宋体" w:cs="宋体"/>
                <w:i w:val="0"/>
                <w:iCs w:val="0"/>
                <w:color w:val="000000"/>
                <w:kern w:val="0"/>
                <w:sz w:val="24"/>
                <w:szCs w:val="24"/>
                <w:u w:val="none"/>
                <w:lang w:val="en-US" w:eastAsia="zh-CN" w:bidi="ar"/>
              </w:rPr>
              <w:t>100.00%</w:t>
            </w:r>
          </w:p>
        </w:tc>
      </w:tr>
      <w:tr w14:paraId="0097FDAF">
        <w:tblPrEx>
          <w:tblCellMar>
            <w:top w:w="0" w:type="dxa"/>
            <w:left w:w="0" w:type="dxa"/>
            <w:bottom w:w="0" w:type="dxa"/>
            <w:right w:w="0" w:type="dxa"/>
          </w:tblCellMar>
        </w:tblPrEx>
        <w:trPr>
          <w:trHeight w:val="285" w:hRule="atLeast"/>
        </w:trPr>
        <w:tc>
          <w:tcPr>
            <w:tcW w:w="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09BB16">
            <w:pPr>
              <w:keepNext w:val="0"/>
              <w:keepLines w:val="0"/>
              <w:widowControl/>
              <w:suppressLineNumbers w:val="0"/>
              <w:jc w:val="center"/>
              <w:textAlignment w:val="center"/>
              <w:rPr>
                <w:rFonts w:hint="eastAsia" w:ascii="宋体" w:hAnsi="宋体" w:cs="宋体"/>
                <w:color w:val="FF0000"/>
                <w:kern w:val="0"/>
                <w:sz w:val="24"/>
                <w:highlight w:val="none"/>
              </w:rPr>
            </w:pPr>
            <w:r>
              <w:rPr>
                <w:rFonts w:hint="eastAsia" w:ascii="宋体" w:hAnsi="宋体" w:eastAsia="宋体" w:cs="宋体"/>
                <w:i w:val="0"/>
                <w:iCs w:val="0"/>
                <w:color w:val="000000"/>
                <w:kern w:val="0"/>
                <w:sz w:val="24"/>
                <w:szCs w:val="24"/>
                <w:u w:val="none"/>
                <w:lang w:val="en-US" w:eastAsia="zh-CN" w:bidi="ar"/>
              </w:rPr>
              <w:t>28</w:t>
            </w:r>
          </w:p>
        </w:tc>
        <w:tc>
          <w:tcPr>
            <w:tcW w:w="3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F8C148">
            <w:pPr>
              <w:keepNext w:val="0"/>
              <w:keepLines w:val="0"/>
              <w:widowControl/>
              <w:suppressLineNumbers w:val="0"/>
              <w:jc w:val="left"/>
              <w:textAlignment w:val="center"/>
              <w:rPr>
                <w:rFonts w:hint="eastAsia" w:ascii="宋体" w:hAnsi="宋体" w:cs="宋体"/>
                <w:color w:val="FF0000"/>
                <w:kern w:val="0"/>
                <w:sz w:val="24"/>
                <w:highlight w:val="none"/>
              </w:rPr>
            </w:pPr>
            <w:r>
              <w:rPr>
                <w:rFonts w:hint="eastAsia" w:ascii="宋体" w:hAnsi="宋体" w:eastAsia="宋体" w:cs="宋体"/>
                <w:i w:val="0"/>
                <w:iCs w:val="0"/>
                <w:color w:val="000000"/>
                <w:kern w:val="0"/>
                <w:sz w:val="22"/>
                <w:szCs w:val="22"/>
                <w:u w:val="none"/>
                <w:lang w:val="en-US" w:eastAsia="zh-CN" w:bidi="ar"/>
              </w:rPr>
              <w:t>青春里-铂樾府旁道路建设项目（2023年第二批一般债券安排的支出）</w:t>
            </w:r>
          </w:p>
        </w:tc>
        <w:tc>
          <w:tcPr>
            <w:tcW w:w="16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5F894D">
            <w:pPr>
              <w:keepNext w:val="0"/>
              <w:keepLines w:val="0"/>
              <w:widowControl/>
              <w:suppressLineNumbers w:val="0"/>
              <w:jc w:val="right"/>
              <w:textAlignment w:val="center"/>
              <w:rPr>
                <w:rFonts w:hint="eastAsia" w:ascii="宋体" w:hAnsi="宋体" w:cs="宋体"/>
                <w:color w:val="FF0000"/>
                <w:kern w:val="0"/>
                <w:sz w:val="24"/>
                <w:highlight w:val="none"/>
              </w:rPr>
            </w:pPr>
            <w:r>
              <w:rPr>
                <w:rFonts w:hint="eastAsia" w:ascii="宋体" w:hAnsi="宋体" w:eastAsia="宋体" w:cs="宋体"/>
                <w:i w:val="0"/>
                <w:iCs w:val="0"/>
                <w:color w:val="000000"/>
                <w:kern w:val="0"/>
                <w:sz w:val="22"/>
                <w:szCs w:val="22"/>
                <w:u w:val="none"/>
                <w:lang w:val="en-US" w:eastAsia="zh-CN" w:bidi="ar"/>
              </w:rPr>
              <w:t>1,489,639.00</w:t>
            </w:r>
          </w:p>
        </w:tc>
        <w:tc>
          <w:tcPr>
            <w:tcW w:w="16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CA076E">
            <w:pPr>
              <w:keepNext w:val="0"/>
              <w:keepLines w:val="0"/>
              <w:widowControl/>
              <w:suppressLineNumbers w:val="0"/>
              <w:jc w:val="right"/>
              <w:textAlignment w:val="center"/>
              <w:rPr>
                <w:rFonts w:hint="eastAsia" w:ascii="宋体" w:hAnsi="宋体" w:cs="宋体"/>
                <w:color w:val="FF0000"/>
                <w:kern w:val="0"/>
                <w:sz w:val="24"/>
                <w:highlight w:val="none"/>
              </w:rPr>
            </w:pPr>
            <w:r>
              <w:rPr>
                <w:rFonts w:hint="eastAsia" w:ascii="宋体" w:hAnsi="宋体" w:eastAsia="宋体" w:cs="宋体"/>
                <w:i w:val="0"/>
                <w:iCs w:val="0"/>
                <w:color w:val="000000"/>
                <w:kern w:val="0"/>
                <w:sz w:val="22"/>
                <w:szCs w:val="22"/>
                <w:u w:val="none"/>
                <w:lang w:val="en-US" w:eastAsia="zh-CN" w:bidi="ar"/>
              </w:rPr>
              <w:t>1,489,639.00</w:t>
            </w:r>
          </w:p>
        </w:tc>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54C0DA">
            <w:pPr>
              <w:keepNext w:val="0"/>
              <w:keepLines w:val="0"/>
              <w:widowControl/>
              <w:suppressLineNumbers w:val="0"/>
              <w:jc w:val="center"/>
              <w:textAlignment w:val="center"/>
              <w:rPr>
                <w:rFonts w:hint="eastAsia" w:ascii="宋体" w:hAnsi="宋体" w:cs="宋体"/>
                <w:color w:val="FF0000"/>
                <w:kern w:val="0"/>
                <w:sz w:val="24"/>
                <w:highlight w:val="none"/>
              </w:rPr>
            </w:pPr>
            <w:r>
              <w:rPr>
                <w:rFonts w:hint="eastAsia" w:ascii="宋体" w:hAnsi="宋体" w:eastAsia="宋体" w:cs="宋体"/>
                <w:i w:val="0"/>
                <w:iCs w:val="0"/>
                <w:color w:val="000000"/>
                <w:kern w:val="0"/>
                <w:sz w:val="24"/>
                <w:szCs w:val="24"/>
                <w:u w:val="none"/>
                <w:lang w:val="en-US" w:eastAsia="zh-CN" w:bidi="ar"/>
              </w:rPr>
              <w:t xml:space="preserve">0.00 </w:t>
            </w:r>
          </w:p>
        </w:tc>
        <w:tc>
          <w:tcPr>
            <w:tcW w:w="11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BF8F67">
            <w:pPr>
              <w:keepNext w:val="0"/>
              <w:keepLines w:val="0"/>
              <w:widowControl/>
              <w:suppressLineNumbers w:val="0"/>
              <w:jc w:val="center"/>
              <w:textAlignment w:val="center"/>
              <w:rPr>
                <w:rFonts w:hint="eastAsia" w:ascii="宋体" w:hAnsi="宋体" w:cs="宋体"/>
                <w:color w:val="FF0000"/>
                <w:kern w:val="0"/>
                <w:sz w:val="24"/>
                <w:highlight w:val="none"/>
              </w:rPr>
            </w:pPr>
            <w:r>
              <w:rPr>
                <w:rFonts w:hint="eastAsia" w:ascii="宋体" w:hAnsi="宋体" w:eastAsia="宋体" w:cs="宋体"/>
                <w:i w:val="0"/>
                <w:iCs w:val="0"/>
                <w:color w:val="000000"/>
                <w:kern w:val="0"/>
                <w:sz w:val="24"/>
                <w:szCs w:val="24"/>
                <w:u w:val="none"/>
                <w:lang w:val="en-US" w:eastAsia="zh-CN" w:bidi="ar"/>
              </w:rPr>
              <w:t>100.00%</w:t>
            </w:r>
          </w:p>
        </w:tc>
      </w:tr>
      <w:tr w14:paraId="3A17E0A1">
        <w:tblPrEx>
          <w:tblCellMar>
            <w:top w:w="0" w:type="dxa"/>
            <w:left w:w="0" w:type="dxa"/>
            <w:bottom w:w="0" w:type="dxa"/>
            <w:right w:w="0" w:type="dxa"/>
          </w:tblCellMar>
        </w:tblPrEx>
        <w:trPr>
          <w:trHeight w:val="285" w:hRule="atLeast"/>
        </w:trPr>
        <w:tc>
          <w:tcPr>
            <w:tcW w:w="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56A110">
            <w:pPr>
              <w:keepNext w:val="0"/>
              <w:keepLines w:val="0"/>
              <w:widowControl/>
              <w:suppressLineNumbers w:val="0"/>
              <w:jc w:val="center"/>
              <w:textAlignment w:val="center"/>
              <w:rPr>
                <w:rFonts w:hint="eastAsia" w:ascii="宋体" w:hAnsi="宋体" w:cs="宋体"/>
                <w:color w:val="FF0000"/>
                <w:kern w:val="0"/>
                <w:sz w:val="24"/>
                <w:highlight w:val="none"/>
              </w:rPr>
            </w:pPr>
            <w:r>
              <w:rPr>
                <w:rFonts w:hint="eastAsia" w:ascii="宋体" w:hAnsi="宋体" w:eastAsia="宋体" w:cs="宋体"/>
                <w:i w:val="0"/>
                <w:iCs w:val="0"/>
                <w:color w:val="000000"/>
                <w:kern w:val="0"/>
                <w:sz w:val="24"/>
                <w:szCs w:val="24"/>
                <w:u w:val="none"/>
                <w:lang w:val="en-US" w:eastAsia="zh-CN" w:bidi="ar"/>
              </w:rPr>
              <w:t>29</w:t>
            </w:r>
          </w:p>
        </w:tc>
        <w:tc>
          <w:tcPr>
            <w:tcW w:w="3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59A66F">
            <w:pPr>
              <w:keepNext w:val="0"/>
              <w:keepLines w:val="0"/>
              <w:widowControl/>
              <w:suppressLineNumbers w:val="0"/>
              <w:jc w:val="left"/>
              <w:textAlignment w:val="center"/>
              <w:rPr>
                <w:rFonts w:hint="eastAsia" w:ascii="宋体" w:hAnsi="宋体" w:cs="宋体"/>
                <w:color w:val="FF0000"/>
                <w:kern w:val="0"/>
                <w:sz w:val="24"/>
                <w:highlight w:val="none"/>
              </w:rPr>
            </w:pPr>
            <w:r>
              <w:rPr>
                <w:rFonts w:hint="eastAsia" w:ascii="宋体" w:hAnsi="宋体" w:eastAsia="宋体" w:cs="宋体"/>
                <w:i w:val="0"/>
                <w:iCs w:val="0"/>
                <w:color w:val="000000"/>
                <w:kern w:val="0"/>
                <w:sz w:val="22"/>
                <w:szCs w:val="22"/>
                <w:u w:val="none"/>
                <w:lang w:val="en-US" w:eastAsia="zh-CN" w:bidi="ar"/>
              </w:rPr>
              <w:t>第一污水处理厂运行经费</w:t>
            </w:r>
          </w:p>
        </w:tc>
        <w:tc>
          <w:tcPr>
            <w:tcW w:w="16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9D19F3">
            <w:pPr>
              <w:keepNext w:val="0"/>
              <w:keepLines w:val="0"/>
              <w:widowControl/>
              <w:suppressLineNumbers w:val="0"/>
              <w:jc w:val="right"/>
              <w:textAlignment w:val="center"/>
              <w:rPr>
                <w:rFonts w:hint="eastAsia" w:ascii="宋体" w:hAnsi="宋体" w:cs="宋体"/>
                <w:color w:val="FF0000"/>
                <w:kern w:val="0"/>
                <w:sz w:val="24"/>
                <w:highlight w:val="none"/>
              </w:rPr>
            </w:pPr>
            <w:r>
              <w:rPr>
                <w:rFonts w:hint="eastAsia" w:ascii="宋体" w:hAnsi="宋体" w:eastAsia="宋体" w:cs="宋体"/>
                <w:i w:val="0"/>
                <w:iCs w:val="0"/>
                <w:color w:val="000000"/>
                <w:kern w:val="0"/>
                <w:sz w:val="22"/>
                <w:szCs w:val="22"/>
                <w:u w:val="none"/>
                <w:lang w:val="en-US" w:eastAsia="zh-CN" w:bidi="ar"/>
              </w:rPr>
              <w:t>5,980,931.00</w:t>
            </w:r>
          </w:p>
        </w:tc>
        <w:tc>
          <w:tcPr>
            <w:tcW w:w="16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3A4765">
            <w:pPr>
              <w:keepNext w:val="0"/>
              <w:keepLines w:val="0"/>
              <w:widowControl/>
              <w:suppressLineNumbers w:val="0"/>
              <w:jc w:val="right"/>
              <w:textAlignment w:val="center"/>
              <w:rPr>
                <w:rFonts w:hint="eastAsia" w:ascii="宋体" w:hAnsi="宋体" w:cs="宋体"/>
                <w:color w:val="FF0000"/>
                <w:kern w:val="0"/>
                <w:sz w:val="24"/>
                <w:highlight w:val="none"/>
              </w:rPr>
            </w:pPr>
            <w:r>
              <w:rPr>
                <w:rFonts w:hint="eastAsia" w:ascii="宋体" w:hAnsi="宋体" w:eastAsia="宋体" w:cs="宋体"/>
                <w:i w:val="0"/>
                <w:iCs w:val="0"/>
                <w:color w:val="000000"/>
                <w:kern w:val="0"/>
                <w:sz w:val="22"/>
                <w:szCs w:val="22"/>
                <w:u w:val="none"/>
                <w:lang w:val="en-US" w:eastAsia="zh-CN" w:bidi="ar"/>
              </w:rPr>
              <w:t>5,980,931.00</w:t>
            </w:r>
          </w:p>
        </w:tc>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C34EC8">
            <w:pPr>
              <w:keepNext w:val="0"/>
              <w:keepLines w:val="0"/>
              <w:widowControl/>
              <w:suppressLineNumbers w:val="0"/>
              <w:jc w:val="center"/>
              <w:textAlignment w:val="center"/>
              <w:rPr>
                <w:rFonts w:hint="eastAsia" w:ascii="宋体" w:hAnsi="宋体" w:cs="宋体"/>
                <w:color w:val="FF0000"/>
                <w:kern w:val="0"/>
                <w:sz w:val="24"/>
                <w:highlight w:val="none"/>
              </w:rPr>
            </w:pPr>
            <w:r>
              <w:rPr>
                <w:rFonts w:hint="eastAsia" w:ascii="宋体" w:hAnsi="宋体" w:eastAsia="宋体" w:cs="宋体"/>
                <w:i w:val="0"/>
                <w:iCs w:val="0"/>
                <w:color w:val="000000"/>
                <w:kern w:val="0"/>
                <w:sz w:val="24"/>
                <w:szCs w:val="24"/>
                <w:u w:val="none"/>
                <w:lang w:val="en-US" w:eastAsia="zh-CN" w:bidi="ar"/>
              </w:rPr>
              <w:t xml:space="preserve">0.00 </w:t>
            </w:r>
          </w:p>
        </w:tc>
        <w:tc>
          <w:tcPr>
            <w:tcW w:w="11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3E215B">
            <w:pPr>
              <w:keepNext w:val="0"/>
              <w:keepLines w:val="0"/>
              <w:widowControl/>
              <w:suppressLineNumbers w:val="0"/>
              <w:jc w:val="center"/>
              <w:textAlignment w:val="center"/>
              <w:rPr>
                <w:rFonts w:hint="eastAsia" w:ascii="宋体" w:hAnsi="宋体" w:cs="宋体"/>
                <w:color w:val="FF0000"/>
                <w:kern w:val="0"/>
                <w:sz w:val="24"/>
                <w:highlight w:val="none"/>
              </w:rPr>
            </w:pPr>
            <w:r>
              <w:rPr>
                <w:rFonts w:hint="eastAsia" w:ascii="宋体" w:hAnsi="宋体" w:eastAsia="宋体" w:cs="宋体"/>
                <w:i w:val="0"/>
                <w:iCs w:val="0"/>
                <w:color w:val="000000"/>
                <w:kern w:val="0"/>
                <w:sz w:val="24"/>
                <w:szCs w:val="24"/>
                <w:u w:val="none"/>
                <w:lang w:val="en-US" w:eastAsia="zh-CN" w:bidi="ar"/>
              </w:rPr>
              <w:t>100.00%</w:t>
            </w:r>
          </w:p>
        </w:tc>
      </w:tr>
      <w:tr w14:paraId="5B57221C">
        <w:tblPrEx>
          <w:tblCellMar>
            <w:top w:w="0" w:type="dxa"/>
            <w:left w:w="0" w:type="dxa"/>
            <w:bottom w:w="0" w:type="dxa"/>
            <w:right w:w="0" w:type="dxa"/>
          </w:tblCellMar>
        </w:tblPrEx>
        <w:trPr>
          <w:trHeight w:val="285" w:hRule="atLeast"/>
        </w:trPr>
        <w:tc>
          <w:tcPr>
            <w:tcW w:w="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9429C2">
            <w:pPr>
              <w:keepNext w:val="0"/>
              <w:keepLines w:val="0"/>
              <w:widowControl/>
              <w:suppressLineNumbers w:val="0"/>
              <w:jc w:val="center"/>
              <w:textAlignment w:val="center"/>
              <w:rPr>
                <w:rFonts w:hint="eastAsia" w:ascii="宋体" w:hAnsi="宋体" w:cs="宋体"/>
                <w:color w:val="FF0000"/>
                <w:kern w:val="0"/>
                <w:sz w:val="24"/>
                <w:highlight w:val="none"/>
              </w:rPr>
            </w:pPr>
            <w:r>
              <w:rPr>
                <w:rFonts w:hint="eastAsia" w:ascii="宋体" w:hAnsi="宋体" w:eastAsia="宋体" w:cs="宋体"/>
                <w:i w:val="0"/>
                <w:iCs w:val="0"/>
                <w:color w:val="000000"/>
                <w:kern w:val="0"/>
                <w:sz w:val="24"/>
                <w:szCs w:val="24"/>
                <w:u w:val="none"/>
                <w:lang w:val="en-US" w:eastAsia="zh-CN" w:bidi="ar"/>
              </w:rPr>
              <w:t>30</w:t>
            </w:r>
          </w:p>
        </w:tc>
        <w:tc>
          <w:tcPr>
            <w:tcW w:w="3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6C53F6">
            <w:pPr>
              <w:keepNext w:val="0"/>
              <w:keepLines w:val="0"/>
              <w:widowControl/>
              <w:suppressLineNumbers w:val="0"/>
              <w:jc w:val="left"/>
              <w:textAlignment w:val="center"/>
              <w:rPr>
                <w:rFonts w:hint="eastAsia" w:ascii="宋体" w:hAnsi="宋体" w:cs="宋体"/>
                <w:color w:val="FF0000"/>
                <w:kern w:val="0"/>
                <w:sz w:val="24"/>
                <w:highlight w:val="none"/>
              </w:rPr>
            </w:pPr>
            <w:r>
              <w:rPr>
                <w:rFonts w:hint="eastAsia" w:ascii="宋体" w:hAnsi="宋体" w:eastAsia="宋体" w:cs="宋体"/>
                <w:i w:val="0"/>
                <w:iCs w:val="0"/>
                <w:color w:val="000000"/>
                <w:kern w:val="0"/>
                <w:sz w:val="22"/>
                <w:szCs w:val="22"/>
                <w:u w:val="none"/>
                <w:lang w:val="en-US" w:eastAsia="zh-CN" w:bidi="ar"/>
              </w:rPr>
              <w:t>污泥处置费用</w:t>
            </w:r>
          </w:p>
        </w:tc>
        <w:tc>
          <w:tcPr>
            <w:tcW w:w="16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23CF85">
            <w:pPr>
              <w:keepNext w:val="0"/>
              <w:keepLines w:val="0"/>
              <w:widowControl/>
              <w:suppressLineNumbers w:val="0"/>
              <w:jc w:val="right"/>
              <w:textAlignment w:val="center"/>
              <w:rPr>
                <w:rFonts w:hint="eastAsia" w:ascii="宋体" w:hAnsi="宋体" w:cs="宋体"/>
                <w:color w:val="FF0000"/>
                <w:kern w:val="0"/>
                <w:sz w:val="24"/>
                <w:highlight w:val="none"/>
              </w:rPr>
            </w:pPr>
            <w:r>
              <w:rPr>
                <w:rFonts w:hint="eastAsia" w:ascii="宋体" w:hAnsi="宋体" w:eastAsia="宋体" w:cs="宋体"/>
                <w:i w:val="0"/>
                <w:iCs w:val="0"/>
                <w:color w:val="000000"/>
                <w:kern w:val="0"/>
                <w:sz w:val="22"/>
                <w:szCs w:val="22"/>
                <w:u w:val="none"/>
                <w:lang w:val="en-US" w:eastAsia="zh-CN" w:bidi="ar"/>
              </w:rPr>
              <w:t>12,000.00</w:t>
            </w:r>
          </w:p>
        </w:tc>
        <w:tc>
          <w:tcPr>
            <w:tcW w:w="16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FAC91D">
            <w:pPr>
              <w:keepNext w:val="0"/>
              <w:keepLines w:val="0"/>
              <w:widowControl/>
              <w:suppressLineNumbers w:val="0"/>
              <w:jc w:val="right"/>
              <w:textAlignment w:val="center"/>
              <w:rPr>
                <w:rFonts w:hint="eastAsia" w:ascii="宋体" w:hAnsi="宋体" w:cs="宋体"/>
                <w:color w:val="FF0000"/>
                <w:kern w:val="0"/>
                <w:sz w:val="24"/>
                <w:highlight w:val="none"/>
              </w:rPr>
            </w:pPr>
            <w:r>
              <w:rPr>
                <w:rFonts w:hint="eastAsia" w:ascii="宋体" w:hAnsi="宋体" w:eastAsia="宋体" w:cs="宋体"/>
                <w:i w:val="0"/>
                <w:iCs w:val="0"/>
                <w:color w:val="000000"/>
                <w:kern w:val="0"/>
                <w:sz w:val="22"/>
                <w:szCs w:val="22"/>
                <w:u w:val="none"/>
                <w:lang w:val="en-US" w:eastAsia="zh-CN" w:bidi="ar"/>
              </w:rPr>
              <w:t>12,000.00</w:t>
            </w:r>
          </w:p>
        </w:tc>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1EB3F2">
            <w:pPr>
              <w:keepNext w:val="0"/>
              <w:keepLines w:val="0"/>
              <w:widowControl/>
              <w:suppressLineNumbers w:val="0"/>
              <w:jc w:val="center"/>
              <w:textAlignment w:val="center"/>
              <w:rPr>
                <w:rFonts w:hint="eastAsia" w:ascii="宋体" w:hAnsi="宋体" w:cs="宋体"/>
                <w:color w:val="FF0000"/>
                <w:kern w:val="0"/>
                <w:sz w:val="24"/>
                <w:highlight w:val="none"/>
              </w:rPr>
            </w:pPr>
            <w:r>
              <w:rPr>
                <w:rFonts w:hint="eastAsia" w:ascii="宋体" w:hAnsi="宋体" w:eastAsia="宋体" w:cs="宋体"/>
                <w:i w:val="0"/>
                <w:iCs w:val="0"/>
                <w:color w:val="000000"/>
                <w:kern w:val="0"/>
                <w:sz w:val="24"/>
                <w:szCs w:val="24"/>
                <w:u w:val="none"/>
                <w:lang w:val="en-US" w:eastAsia="zh-CN" w:bidi="ar"/>
              </w:rPr>
              <w:t xml:space="preserve">0.00 </w:t>
            </w:r>
          </w:p>
        </w:tc>
        <w:tc>
          <w:tcPr>
            <w:tcW w:w="11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D9792F">
            <w:pPr>
              <w:keepNext w:val="0"/>
              <w:keepLines w:val="0"/>
              <w:widowControl/>
              <w:suppressLineNumbers w:val="0"/>
              <w:jc w:val="center"/>
              <w:textAlignment w:val="center"/>
              <w:rPr>
                <w:rFonts w:hint="eastAsia" w:ascii="宋体" w:hAnsi="宋体" w:cs="宋体"/>
                <w:color w:val="FF0000"/>
                <w:kern w:val="0"/>
                <w:sz w:val="24"/>
                <w:highlight w:val="none"/>
              </w:rPr>
            </w:pPr>
            <w:r>
              <w:rPr>
                <w:rFonts w:hint="eastAsia" w:ascii="宋体" w:hAnsi="宋体" w:eastAsia="宋体" w:cs="宋体"/>
                <w:i w:val="0"/>
                <w:iCs w:val="0"/>
                <w:color w:val="000000"/>
                <w:kern w:val="0"/>
                <w:sz w:val="24"/>
                <w:szCs w:val="24"/>
                <w:u w:val="none"/>
                <w:lang w:val="en-US" w:eastAsia="zh-CN" w:bidi="ar"/>
              </w:rPr>
              <w:t>100.00%</w:t>
            </w:r>
          </w:p>
        </w:tc>
      </w:tr>
      <w:tr w14:paraId="64E4DCA7">
        <w:tblPrEx>
          <w:tblCellMar>
            <w:top w:w="0" w:type="dxa"/>
            <w:left w:w="0" w:type="dxa"/>
            <w:bottom w:w="0" w:type="dxa"/>
            <w:right w:w="0" w:type="dxa"/>
          </w:tblCellMar>
        </w:tblPrEx>
        <w:trPr>
          <w:trHeight w:val="285" w:hRule="atLeast"/>
        </w:trPr>
        <w:tc>
          <w:tcPr>
            <w:tcW w:w="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E5211C">
            <w:pPr>
              <w:keepNext w:val="0"/>
              <w:keepLines w:val="0"/>
              <w:widowControl/>
              <w:suppressLineNumbers w:val="0"/>
              <w:jc w:val="center"/>
              <w:textAlignment w:val="center"/>
              <w:rPr>
                <w:rFonts w:hint="eastAsia" w:ascii="宋体" w:hAnsi="宋体" w:cs="宋体"/>
                <w:color w:val="FF0000"/>
                <w:kern w:val="0"/>
                <w:sz w:val="24"/>
                <w:highlight w:val="none"/>
              </w:rPr>
            </w:pPr>
            <w:r>
              <w:rPr>
                <w:rFonts w:hint="eastAsia" w:ascii="宋体" w:hAnsi="宋体" w:eastAsia="宋体" w:cs="宋体"/>
                <w:i w:val="0"/>
                <w:iCs w:val="0"/>
                <w:color w:val="000000"/>
                <w:kern w:val="0"/>
                <w:sz w:val="24"/>
                <w:szCs w:val="24"/>
                <w:u w:val="none"/>
                <w:lang w:val="en-US" w:eastAsia="zh-CN" w:bidi="ar"/>
              </w:rPr>
              <w:t>31</w:t>
            </w:r>
          </w:p>
        </w:tc>
        <w:tc>
          <w:tcPr>
            <w:tcW w:w="3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625FC6">
            <w:pPr>
              <w:keepNext w:val="0"/>
              <w:keepLines w:val="0"/>
              <w:widowControl/>
              <w:suppressLineNumbers w:val="0"/>
              <w:jc w:val="left"/>
              <w:textAlignment w:val="center"/>
              <w:rPr>
                <w:rFonts w:hint="eastAsia" w:ascii="宋体" w:hAnsi="宋体" w:cs="宋体"/>
                <w:color w:val="FF0000"/>
                <w:kern w:val="0"/>
                <w:sz w:val="24"/>
                <w:highlight w:val="none"/>
              </w:rPr>
            </w:pPr>
            <w:r>
              <w:rPr>
                <w:rFonts w:hint="eastAsia" w:ascii="宋体" w:hAnsi="宋体" w:eastAsia="宋体" w:cs="宋体"/>
                <w:i w:val="0"/>
                <w:iCs w:val="0"/>
                <w:color w:val="000000"/>
                <w:kern w:val="0"/>
                <w:sz w:val="22"/>
                <w:szCs w:val="22"/>
                <w:u w:val="none"/>
                <w:lang w:val="en-US" w:eastAsia="zh-CN" w:bidi="ar"/>
              </w:rPr>
              <w:t>邓家坝片区城市棚户区改造项目（2023年第一批新增专项债券安排的支出）</w:t>
            </w:r>
          </w:p>
        </w:tc>
        <w:tc>
          <w:tcPr>
            <w:tcW w:w="16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7802D6">
            <w:pPr>
              <w:keepNext w:val="0"/>
              <w:keepLines w:val="0"/>
              <w:widowControl/>
              <w:suppressLineNumbers w:val="0"/>
              <w:jc w:val="right"/>
              <w:textAlignment w:val="center"/>
              <w:rPr>
                <w:rFonts w:hint="eastAsia" w:ascii="宋体" w:hAnsi="宋体" w:cs="宋体"/>
                <w:color w:val="FF0000"/>
                <w:kern w:val="0"/>
                <w:sz w:val="24"/>
                <w:highlight w:val="none"/>
              </w:rPr>
            </w:pPr>
            <w:r>
              <w:rPr>
                <w:rFonts w:hint="eastAsia" w:ascii="宋体" w:hAnsi="宋体" w:eastAsia="宋体" w:cs="宋体"/>
                <w:i w:val="0"/>
                <w:iCs w:val="0"/>
                <w:color w:val="000000"/>
                <w:kern w:val="0"/>
                <w:sz w:val="22"/>
                <w:szCs w:val="22"/>
                <w:u w:val="none"/>
                <w:lang w:val="en-US" w:eastAsia="zh-CN" w:bidi="ar"/>
              </w:rPr>
              <w:t>120,000,000.00</w:t>
            </w:r>
          </w:p>
        </w:tc>
        <w:tc>
          <w:tcPr>
            <w:tcW w:w="16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26C607">
            <w:pPr>
              <w:keepNext w:val="0"/>
              <w:keepLines w:val="0"/>
              <w:widowControl/>
              <w:suppressLineNumbers w:val="0"/>
              <w:jc w:val="right"/>
              <w:textAlignment w:val="center"/>
              <w:rPr>
                <w:rFonts w:hint="eastAsia" w:ascii="宋体" w:hAnsi="宋体" w:cs="宋体"/>
                <w:color w:val="FF0000"/>
                <w:kern w:val="0"/>
                <w:sz w:val="24"/>
                <w:highlight w:val="none"/>
              </w:rPr>
            </w:pPr>
            <w:r>
              <w:rPr>
                <w:rFonts w:hint="eastAsia" w:ascii="宋体" w:hAnsi="宋体" w:eastAsia="宋体" w:cs="宋体"/>
                <w:i w:val="0"/>
                <w:iCs w:val="0"/>
                <w:color w:val="000000"/>
                <w:kern w:val="0"/>
                <w:sz w:val="22"/>
                <w:szCs w:val="22"/>
                <w:u w:val="none"/>
                <w:lang w:val="en-US" w:eastAsia="zh-CN" w:bidi="ar"/>
              </w:rPr>
              <w:t>120,000,000.00</w:t>
            </w:r>
          </w:p>
        </w:tc>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8BFA47">
            <w:pPr>
              <w:keepNext w:val="0"/>
              <w:keepLines w:val="0"/>
              <w:widowControl/>
              <w:suppressLineNumbers w:val="0"/>
              <w:jc w:val="center"/>
              <w:textAlignment w:val="center"/>
              <w:rPr>
                <w:rFonts w:hint="eastAsia" w:ascii="宋体" w:hAnsi="宋体" w:cs="宋体"/>
                <w:color w:val="FF0000"/>
                <w:kern w:val="0"/>
                <w:sz w:val="24"/>
                <w:highlight w:val="none"/>
              </w:rPr>
            </w:pPr>
            <w:r>
              <w:rPr>
                <w:rFonts w:hint="eastAsia" w:ascii="宋体" w:hAnsi="宋体" w:eastAsia="宋体" w:cs="宋体"/>
                <w:i w:val="0"/>
                <w:iCs w:val="0"/>
                <w:color w:val="000000"/>
                <w:kern w:val="0"/>
                <w:sz w:val="24"/>
                <w:szCs w:val="24"/>
                <w:u w:val="none"/>
                <w:lang w:val="en-US" w:eastAsia="zh-CN" w:bidi="ar"/>
              </w:rPr>
              <w:t xml:space="preserve">0.00 </w:t>
            </w:r>
          </w:p>
        </w:tc>
        <w:tc>
          <w:tcPr>
            <w:tcW w:w="11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CA2356">
            <w:pPr>
              <w:keepNext w:val="0"/>
              <w:keepLines w:val="0"/>
              <w:widowControl/>
              <w:suppressLineNumbers w:val="0"/>
              <w:jc w:val="center"/>
              <w:textAlignment w:val="center"/>
              <w:rPr>
                <w:rFonts w:hint="eastAsia" w:ascii="宋体" w:hAnsi="宋体" w:cs="宋体"/>
                <w:color w:val="FF0000"/>
                <w:kern w:val="0"/>
                <w:sz w:val="24"/>
                <w:highlight w:val="none"/>
              </w:rPr>
            </w:pPr>
            <w:r>
              <w:rPr>
                <w:rFonts w:hint="eastAsia" w:ascii="宋体" w:hAnsi="宋体" w:eastAsia="宋体" w:cs="宋体"/>
                <w:i w:val="0"/>
                <w:iCs w:val="0"/>
                <w:color w:val="000000"/>
                <w:kern w:val="0"/>
                <w:sz w:val="24"/>
                <w:szCs w:val="24"/>
                <w:u w:val="none"/>
                <w:lang w:val="en-US" w:eastAsia="zh-CN" w:bidi="ar"/>
              </w:rPr>
              <w:t>100.00%</w:t>
            </w:r>
          </w:p>
        </w:tc>
      </w:tr>
      <w:tr w14:paraId="377D2721">
        <w:tblPrEx>
          <w:tblCellMar>
            <w:top w:w="0" w:type="dxa"/>
            <w:left w:w="0" w:type="dxa"/>
            <w:bottom w:w="0" w:type="dxa"/>
            <w:right w:w="0" w:type="dxa"/>
          </w:tblCellMar>
        </w:tblPrEx>
        <w:trPr>
          <w:trHeight w:val="285" w:hRule="atLeast"/>
        </w:trPr>
        <w:tc>
          <w:tcPr>
            <w:tcW w:w="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68BD81">
            <w:pPr>
              <w:keepNext w:val="0"/>
              <w:keepLines w:val="0"/>
              <w:widowControl/>
              <w:suppressLineNumbers w:val="0"/>
              <w:jc w:val="center"/>
              <w:textAlignment w:val="center"/>
              <w:rPr>
                <w:rFonts w:hint="eastAsia" w:ascii="宋体" w:hAnsi="宋体" w:cs="宋体"/>
                <w:color w:val="FF0000"/>
                <w:kern w:val="0"/>
                <w:sz w:val="24"/>
                <w:highlight w:val="none"/>
              </w:rPr>
            </w:pPr>
            <w:r>
              <w:rPr>
                <w:rFonts w:hint="eastAsia" w:ascii="宋体" w:hAnsi="宋体" w:eastAsia="宋体" w:cs="宋体"/>
                <w:i w:val="0"/>
                <w:iCs w:val="0"/>
                <w:color w:val="000000"/>
                <w:kern w:val="0"/>
                <w:sz w:val="24"/>
                <w:szCs w:val="24"/>
                <w:u w:val="none"/>
                <w:lang w:val="en-US" w:eastAsia="zh-CN" w:bidi="ar"/>
              </w:rPr>
              <w:t>32</w:t>
            </w:r>
          </w:p>
        </w:tc>
        <w:tc>
          <w:tcPr>
            <w:tcW w:w="3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467C2F">
            <w:pPr>
              <w:keepNext w:val="0"/>
              <w:keepLines w:val="0"/>
              <w:widowControl/>
              <w:suppressLineNumbers w:val="0"/>
              <w:jc w:val="left"/>
              <w:textAlignment w:val="center"/>
              <w:rPr>
                <w:rFonts w:hint="eastAsia" w:ascii="宋体" w:hAnsi="宋体" w:cs="宋体"/>
                <w:color w:val="FF0000"/>
                <w:kern w:val="0"/>
                <w:sz w:val="24"/>
                <w:highlight w:val="none"/>
              </w:rPr>
            </w:pPr>
            <w:r>
              <w:rPr>
                <w:rFonts w:hint="eastAsia" w:ascii="宋体" w:hAnsi="宋体" w:eastAsia="宋体" w:cs="宋体"/>
                <w:i w:val="0"/>
                <w:iCs w:val="0"/>
                <w:color w:val="000000"/>
                <w:kern w:val="0"/>
                <w:sz w:val="22"/>
                <w:szCs w:val="22"/>
                <w:u w:val="none"/>
                <w:lang w:val="en-US" w:eastAsia="zh-CN" w:bidi="ar"/>
              </w:rPr>
              <w:t>2022年度新型城镇化工作真抓实干督查激励措施考评奖励</w:t>
            </w:r>
          </w:p>
        </w:tc>
        <w:tc>
          <w:tcPr>
            <w:tcW w:w="16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4E823D">
            <w:pPr>
              <w:keepNext w:val="0"/>
              <w:keepLines w:val="0"/>
              <w:widowControl/>
              <w:suppressLineNumbers w:val="0"/>
              <w:jc w:val="right"/>
              <w:textAlignment w:val="center"/>
              <w:rPr>
                <w:rFonts w:hint="eastAsia" w:ascii="宋体" w:hAnsi="宋体" w:cs="宋体"/>
                <w:color w:val="FF0000"/>
                <w:kern w:val="0"/>
                <w:sz w:val="24"/>
                <w:highlight w:val="none"/>
              </w:rPr>
            </w:pPr>
            <w:r>
              <w:rPr>
                <w:rFonts w:hint="eastAsia" w:ascii="宋体" w:hAnsi="宋体" w:eastAsia="宋体" w:cs="宋体"/>
                <w:i w:val="0"/>
                <w:iCs w:val="0"/>
                <w:color w:val="000000"/>
                <w:kern w:val="0"/>
                <w:sz w:val="22"/>
                <w:szCs w:val="22"/>
                <w:u w:val="none"/>
                <w:lang w:val="en-US" w:eastAsia="zh-CN" w:bidi="ar"/>
              </w:rPr>
              <w:t>60,000.00</w:t>
            </w:r>
          </w:p>
        </w:tc>
        <w:tc>
          <w:tcPr>
            <w:tcW w:w="16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7F8E7C">
            <w:pPr>
              <w:keepNext w:val="0"/>
              <w:keepLines w:val="0"/>
              <w:widowControl/>
              <w:suppressLineNumbers w:val="0"/>
              <w:jc w:val="right"/>
              <w:textAlignment w:val="center"/>
              <w:rPr>
                <w:rFonts w:hint="eastAsia" w:ascii="宋体" w:hAnsi="宋体" w:cs="宋体"/>
                <w:color w:val="FF0000"/>
                <w:kern w:val="0"/>
                <w:sz w:val="24"/>
                <w:highlight w:val="none"/>
              </w:rPr>
            </w:pPr>
            <w:r>
              <w:rPr>
                <w:rFonts w:hint="eastAsia" w:ascii="宋体" w:hAnsi="宋体" w:eastAsia="宋体" w:cs="宋体"/>
                <w:i w:val="0"/>
                <w:iCs w:val="0"/>
                <w:color w:val="000000"/>
                <w:kern w:val="0"/>
                <w:sz w:val="22"/>
                <w:szCs w:val="22"/>
                <w:u w:val="none"/>
                <w:lang w:val="en-US" w:eastAsia="zh-CN" w:bidi="ar"/>
              </w:rPr>
              <w:t>60,000.00</w:t>
            </w:r>
          </w:p>
        </w:tc>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B8A008">
            <w:pPr>
              <w:keepNext w:val="0"/>
              <w:keepLines w:val="0"/>
              <w:widowControl/>
              <w:suppressLineNumbers w:val="0"/>
              <w:jc w:val="center"/>
              <w:textAlignment w:val="center"/>
              <w:rPr>
                <w:rFonts w:hint="eastAsia" w:ascii="宋体" w:hAnsi="宋体" w:cs="宋体"/>
                <w:color w:val="FF0000"/>
                <w:kern w:val="0"/>
                <w:sz w:val="24"/>
                <w:highlight w:val="none"/>
              </w:rPr>
            </w:pPr>
            <w:r>
              <w:rPr>
                <w:rFonts w:hint="eastAsia" w:ascii="宋体" w:hAnsi="宋体" w:eastAsia="宋体" w:cs="宋体"/>
                <w:i w:val="0"/>
                <w:iCs w:val="0"/>
                <w:color w:val="000000"/>
                <w:kern w:val="0"/>
                <w:sz w:val="24"/>
                <w:szCs w:val="24"/>
                <w:u w:val="none"/>
                <w:lang w:val="en-US" w:eastAsia="zh-CN" w:bidi="ar"/>
              </w:rPr>
              <w:t xml:space="preserve">0.00 </w:t>
            </w:r>
          </w:p>
        </w:tc>
        <w:tc>
          <w:tcPr>
            <w:tcW w:w="11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BB2778">
            <w:pPr>
              <w:keepNext w:val="0"/>
              <w:keepLines w:val="0"/>
              <w:widowControl/>
              <w:suppressLineNumbers w:val="0"/>
              <w:jc w:val="center"/>
              <w:textAlignment w:val="center"/>
              <w:rPr>
                <w:rFonts w:hint="eastAsia" w:ascii="宋体" w:hAnsi="宋体" w:cs="宋体"/>
                <w:color w:val="FF0000"/>
                <w:kern w:val="0"/>
                <w:sz w:val="24"/>
                <w:highlight w:val="none"/>
              </w:rPr>
            </w:pPr>
            <w:r>
              <w:rPr>
                <w:rFonts w:hint="eastAsia" w:ascii="宋体" w:hAnsi="宋体" w:eastAsia="宋体" w:cs="宋体"/>
                <w:i w:val="0"/>
                <w:iCs w:val="0"/>
                <w:color w:val="000000"/>
                <w:kern w:val="0"/>
                <w:sz w:val="24"/>
                <w:szCs w:val="24"/>
                <w:u w:val="none"/>
                <w:lang w:val="en-US" w:eastAsia="zh-CN" w:bidi="ar"/>
              </w:rPr>
              <w:t>100.00%</w:t>
            </w:r>
          </w:p>
        </w:tc>
      </w:tr>
      <w:tr w14:paraId="6841A904">
        <w:tblPrEx>
          <w:tblCellMar>
            <w:top w:w="0" w:type="dxa"/>
            <w:left w:w="0" w:type="dxa"/>
            <w:bottom w:w="0" w:type="dxa"/>
            <w:right w:w="0" w:type="dxa"/>
          </w:tblCellMar>
        </w:tblPrEx>
        <w:trPr>
          <w:trHeight w:val="285" w:hRule="atLeast"/>
        </w:trPr>
        <w:tc>
          <w:tcPr>
            <w:tcW w:w="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9CC63E">
            <w:pPr>
              <w:keepNext w:val="0"/>
              <w:keepLines w:val="0"/>
              <w:widowControl/>
              <w:suppressLineNumbers w:val="0"/>
              <w:jc w:val="center"/>
              <w:textAlignment w:val="center"/>
              <w:rPr>
                <w:rFonts w:hint="eastAsia" w:ascii="宋体" w:hAnsi="宋体" w:cs="宋体"/>
                <w:color w:val="FF0000"/>
                <w:kern w:val="0"/>
                <w:sz w:val="24"/>
                <w:highlight w:val="none"/>
              </w:rPr>
            </w:pPr>
            <w:r>
              <w:rPr>
                <w:rFonts w:hint="eastAsia" w:ascii="宋体" w:hAnsi="宋体" w:eastAsia="宋体" w:cs="宋体"/>
                <w:i w:val="0"/>
                <w:iCs w:val="0"/>
                <w:color w:val="000000"/>
                <w:kern w:val="0"/>
                <w:sz w:val="24"/>
                <w:szCs w:val="24"/>
                <w:u w:val="none"/>
                <w:lang w:val="en-US" w:eastAsia="zh-CN" w:bidi="ar"/>
              </w:rPr>
              <w:t>33</w:t>
            </w:r>
          </w:p>
        </w:tc>
        <w:tc>
          <w:tcPr>
            <w:tcW w:w="3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B70A93">
            <w:pPr>
              <w:keepNext w:val="0"/>
              <w:keepLines w:val="0"/>
              <w:widowControl/>
              <w:suppressLineNumbers w:val="0"/>
              <w:jc w:val="left"/>
              <w:textAlignment w:val="center"/>
              <w:rPr>
                <w:rFonts w:hint="eastAsia" w:ascii="宋体" w:hAnsi="宋体" w:cs="宋体"/>
                <w:color w:val="FF0000"/>
                <w:kern w:val="0"/>
                <w:sz w:val="24"/>
                <w:highlight w:val="none"/>
              </w:rPr>
            </w:pPr>
            <w:r>
              <w:rPr>
                <w:rFonts w:hint="eastAsia" w:ascii="宋体" w:hAnsi="宋体" w:eastAsia="宋体" w:cs="宋体"/>
                <w:i w:val="0"/>
                <w:iCs w:val="0"/>
                <w:color w:val="000000"/>
                <w:kern w:val="0"/>
                <w:sz w:val="22"/>
                <w:szCs w:val="22"/>
                <w:u w:val="none"/>
                <w:lang w:val="en-US" w:eastAsia="zh-CN" w:bidi="ar"/>
              </w:rPr>
              <w:t>白杨坡片区城市棚户区改造项目（2023年第一批新增专项债券安排的支出）</w:t>
            </w:r>
          </w:p>
        </w:tc>
        <w:tc>
          <w:tcPr>
            <w:tcW w:w="16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6DF336">
            <w:pPr>
              <w:keepNext w:val="0"/>
              <w:keepLines w:val="0"/>
              <w:widowControl/>
              <w:suppressLineNumbers w:val="0"/>
              <w:jc w:val="right"/>
              <w:textAlignment w:val="center"/>
              <w:rPr>
                <w:rFonts w:hint="eastAsia" w:ascii="宋体" w:hAnsi="宋体" w:cs="宋体"/>
                <w:color w:val="FF0000"/>
                <w:kern w:val="0"/>
                <w:sz w:val="24"/>
                <w:highlight w:val="none"/>
              </w:rPr>
            </w:pPr>
            <w:r>
              <w:rPr>
                <w:rFonts w:hint="eastAsia" w:ascii="宋体" w:hAnsi="宋体" w:eastAsia="宋体" w:cs="宋体"/>
                <w:i w:val="0"/>
                <w:iCs w:val="0"/>
                <w:color w:val="000000"/>
                <w:kern w:val="0"/>
                <w:sz w:val="22"/>
                <w:szCs w:val="22"/>
                <w:u w:val="none"/>
                <w:lang w:val="en-US" w:eastAsia="zh-CN" w:bidi="ar"/>
              </w:rPr>
              <w:t>150,000,000.00</w:t>
            </w:r>
          </w:p>
        </w:tc>
        <w:tc>
          <w:tcPr>
            <w:tcW w:w="16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D9D046">
            <w:pPr>
              <w:keepNext w:val="0"/>
              <w:keepLines w:val="0"/>
              <w:widowControl/>
              <w:suppressLineNumbers w:val="0"/>
              <w:jc w:val="right"/>
              <w:textAlignment w:val="center"/>
              <w:rPr>
                <w:rFonts w:hint="eastAsia" w:ascii="宋体" w:hAnsi="宋体" w:cs="宋体"/>
                <w:color w:val="FF0000"/>
                <w:kern w:val="0"/>
                <w:sz w:val="24"/>
                <w:highlight w:val="none"/>
              </w:rPr>
            </w:pPr>
            <w:r>
              <w:rPr>
                <w:rFonts w:hint="eastAsia" w:ascii="宋体" w:hAnsi="宋体" w:eastAsia="宋体" w:cs="宋体"/>
                <w:i w:val="0"/>
                <w:iCs w:val="0"/>
                <w:color w:val="000000"/>
                <w:kern w:val="0"/>
                <w:sz w:val="22"/>
                <w:szCs w:val="22"/>
                <w:u w:val="none"/>
                <w:lang w:val="en-US" w:eastAsia="zh-CN" w:bidi="ar"/>
              </w:rPr>
              <w:t>150,000,000.00</w:t>
            </w:r>
          </w:p>
        </w:tc>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B27641">
            <w:pPr>
              <w:keepNext w:val="0"/>
              <w:keepLines w:val="0"/>
              <w:widowControl/>
              <w:suppressLineNumbers w:val="0"/>
              <w:jc w:val="center"/>
              <w:textAlignment w:val="center"/>
              <w:rPr>
                <w:rFonts w:hint="eastAsia" w:ascii="宋体" w:hAnsi="宋体" w:cs="宋体"/>
                <w:color w:val="FF0000"/>
                <w:kern w:val="0"/>
                <w:sz w:val="24"/>
                <w:highlight w:val="none"/>
              </w:rPr>
            </w:pPr>
            <w:r>
              <w:rPr>
                <w:rFonts w:hint="eastAsia" w:ascii="宋体" w:hAnsi="宋体" w:eastAsia="宋体" w:cs="宋体"/>
                <w:i w:val="0"/>
                <w:iCs w:val="0"/>
                <w:color w:val="000000"/>
                <w:kern w:val="0"/>
                <w:sz w:val="24"/>
                <w:szCs w:val="24"/>
                <w:u w:val="none"/>
                <w:lang w:val="en-US" w:eastAsia="zh-CN" w:bidi="ar"/>
              </w:rPr>
              <w:t xml:space="preserve">0.00 </w:t>
            </w:r>
          </w:p>
        </w:tc>
        <w:tc>
          <w:tcPr>
            <w:tcW w:w="11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4D667A">
            <w:pPr>
              <w:keepNext w:val="0"/>
              <w:keepLines w:val="0"/>
              <w:widowControl/>
              <w:suppressLineNumbers w:val="0"/>
              <w:jc w:val="center"/>
              <w:textAlignment w:val="center"/>
              <w:rPr>
                <w:rFonts w:hint="eastAsia" w:ascii="宋体" w:hAnsi="宋体" w:cs="宋体"/>
                <w:color w:val="FF0000"/>
                <w:kern w:val="0"/>
                <w:sz w:val="24"/>
                <w:highlight w:val="none"/>
              </w:rPr>
            </w:pPr>
            <w:r>
              <w:rPr>
                <w:rFonts w:hint="eastAsia" w:ascii="宋体" w:hAnsi="宋体" w:eastAsia="宋体" w:cs="宋体"/>
                <w:i w:val="0"/>
                <w:iCs w:val="0"/>
                <w:color w:val="000000"/>
                <w:kern w:val="0"/>
                <w:sz w:val="24"/>
                <w:szCs w:val="24"/>
                <w:u w:val="none"/>
                <w:lang w:val="en-US" w:eastAsia="zh-CN" w:bidi="ar"/>
              </w:rPr>
              <w:t>100.00%</w:t>
            </w:r>
          </w:p>
        </w:tc>
      </w:tr>
      <w:tr w14:paraId="18FC21A7">
        <w:tblPrEx>
          <w:tblCellMar>
            <w:top w:w="0" w:type="dxa"/>
            <w:left w:w="0" w:type="dxa"/>
            <w:bottom w:w="0" w:type="dxa"/>
            <w:right w:w="0" w:type="dxa"/>
          </w:tblCellMar>
        </w:tblPrEx>
        <w:trPr>
          <w:trHeight w:val="285" w:hRule="atLeast"/>
        </w:trPr>
        <w:tc>
          <w:tcPr>
            <w:tcW w:w="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F68CBB">
            <w:pPr>
              <w:rPr>
                <w:rFonts w:hint="eastAsia" w:ascii="宋体" w:hAnsi="宋体" w:cs="宋体"/>
                <w:color w:val="FF0000"/>
                <w:kern w:val="0"/>
                <w:sz w:val="24"/>
                <w:highlight w:val="none"/>
              </w:rPr>
            </w:pPr>
          </w:p>
        </w:tc>
        <w:tc>
          <w:tcPr>
            <w:tcW w:w="3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5F78A1">
            <w:pPr>
              <w:keepNext w:val="0"/>
              <w:keepLines w:val="0"/>
              <w:widowControl/>
              <w:suppressLineNumbers w:val="0"/>
              <w:jc w:val="left"/>
              <w:textAlignment w:val="center"/>
              <w:rPr>
                <w:rFonts w:hint="eastAsia" w:ascii="宋体" w:hAnsi="宋体" w:cs="宋体"/>
                <w:color w:val="FF0000"/>
                <w:kern w:val="0"/>
                <w:sz w:val="24"/>
                <w:highlight w:val="none"/>
              </w:rPr>
            </w:pPr>
            <w:r>
              <w:rPr>
                <w:rFonts w:hint="eastAsia" w:ascii="宋体" w:hAnsi="宋体" w:eastAsia="宋体" w:cs="宋体"/>
                <w:i w:val="0"/>
                <w:iCs w:val="0"/>
                <w:color w:val="000000"/>
                <w:kern w:val="0"/>
                <w:sz w:val="22"/>
                <w:szCs w:val="22"/>
                <w:u w:val="none"/>
                <w:lang w:val="en-US" w:eastAsia="zh-CN" w:bidi="ar"/>
              </w:rPr>
              <w:t>合计</w:t>
            </w:r>
          </w:p>
        </w:tc>
        <w:tc>
          <w:tcPr>
            <w:tcW w:w="16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7BBB9D">
            <w:pPr>
              <w:keepNext w:val="0"/>
              <w:keepLines w:val="0"/>
              <w:widowControl/>
              <w:suppressLineNumbers w:val="0"/>
              <w:jc w:val="right"/>
              <w:textAlignment w:val="center"/>
              <w:rPr>
                <w:rFonts w:hint="eastAsia" w:ascii="宋体" w:hAnsi="宋体" w:cs="宋体"/>
                <w:color w:val="FF0000"/>
                <w:kern w:val="0"/>
                <w:sz w:val="24"/>
                <w:highlight w:val="none"/>
              </w:rPr>
            </w:pPr>
            <w:r>
              <w:rPr>
                <w:rFonts w:hint="eastAsia" w:ascii="宋体" w:hAnsi="宋体" w:eastAsia="宋体" w:cs="宋体"/>
                <w:i w:val="0"/>
                <w:iCs w:val="0"/>
                <w:color w:val="000000"/>
                <w:kern w:val="0"/>
                <w:sz w:val="22"/>
                <w:szCs w:val="22"/>
                <w:u w:val="none"/>
                <w:lang w:val="en-US" w:eastAsia="zh-CN" w:bidi="ar"/>
              </w:rPr>
              <w:t xml:space="preserve"> 308,578,969.15 </w:t>
            </w:r>
          </w:p>
        </w:tc>
        <w:tc>
          <w:tcPr>
            <w:tcW w:w="16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6104F5">
            <w:pPr>
              <w:keepNext w:val="0"/>
              <w:keepLines w:val="0"/>
              <w:widowControl/>
              <w:suppressLineNumbers w:val="0"/>
              <w:jc w:val="right"/>
              <w:textAlignment w:val="center"/>
              <w:rPr>
                <w:rFonts w:hint="eastAsia" w:ascii="宋体" w:hAnsi="宋体" w:cs="宋体"/>
                <w:color w:val="FF0000"/>
                <w:kern w:val="0"/>
                <w:sz w:val="24"/>
                <w:highlight w:val="none"/>
              </w:rPr>
            </w:pPr>
            <w:r>
              <w:rPr>
                <w:rFonts w:hint="eastAsia" w:ascii="宋体" w:hAnsi="宋体" w:eastAsia="宋体" w:cs="宋体"/>
                <w:i w:val="0"/>
                <w:iCs w:val="0"/>
                <w:color w:val="000000"/>
                <w:kern w:val="0"/>
                <w:sz w:val="22"/>
                <w:szCs w:val="22"/>
                <w:u w:val="none"/>
                <w:lang w:val="en-US" w:eastAsia="zh-CN" w:bidi="ar"/>
              </w:rPr>
              <w:t xml:space="preserve"> 308,578,969.15 </w:t>
            </w:r>
          </w:p>
        </w:tc>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B69B15">
            <w:pPr>
              <w:keepNext w:val="0"/>
              <w:keepLines w:val="0"/>
              <w:widowControl/>
              <w:suppressLineNumbers w:val="0"/>
              <w:jc w:val="center"/>
              <w:textAlignment w:val="center"/>
              <w:rPr>
                <w:rFonts w:hint="eastAsia" w:ascii="宋体" w:hAnsi="宋体" w:cs="宋体"/>
                <w:color w:val="FF0000"/>
                <w:kern w:val="0"/>
                <w:sz w:val="24"/>
                <w:highlight w:val="none"/>
              </w:rPr>
            </w:pPr>
            <w:r>
              <w:rPr>
                <w:rFonts w:hint="eastAsia" w:ascii="宋体" w:hAnsi="宋体" w:eastAsia="宋体" w:cs="宋体"/>
                <w:i w:val="0"/>
                <w:iCs w:val="0"/>
                <w:color w:val="000000"/>
                <w:kern w:val="0"/>
                <w:sz w:val="24"/>
                <w:szCs w:val="24"/>
                <w:u w:val="none"/>
                <w:lang w:val="en-US" w:eastAsia="zh-CN" w:bidi="ar"/>
              </w:rPr>
              <w:t xml:space="preserve">0.00 </w:t>
            </w:r>
          </w:p>
        </w:tc>
        <w:tc>
          <w:tcPr>
            <w:tcW w:w="11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4CD6AC">
            <w:pPr>
              <w:keepNext w:val="0"/>
              <w:keepLines w:val="0"/>
              <w:widowControl/>
              <w:suppressLineNumbers w:val="0"/>
              <w:jc w:val="center"/>
              <w:textAlignment w:val="center"/>
              <w:rPr>
                <w:rFonts w:hint="eastAsia" w:ascii="宋体" w:hAnsi="宋体" w:cs="宋体"/>
                <w:color w:val="FF0000"/>
                <w:kern w:val="0"/>
                <w:sz w:val="24"/>
                <w:highlight w:val="none"/>
              </w:rPr>
            </w:pPr>
            <w:r>
              <w:rPr>
                <w:rFonts w:hint="eastAsia" w:ascii="宋体" w:hAnsi="宋体" w:eastAsia="宋体" w:cs="宋体"/>
                <w:i w:val="0"/>
                <w:iCs w:val="0"/>
                <w:color w:val="000000"/>
                <w:kern w:val="0"/>
                <w:sz w:val="24"/>
                <w:szCs w:val="24"/>
                <w:u w:val="none"/>
                <w:lang w:val="en-US" w:eastAsia="zh-CN" w:bidi="ar"/>
              </w:rPr>
              <w:t>100.00%</w:t>
            </w:r>
          </w:p>
        </w:tc>
      </w:tr>
    </w:tbl>
    <w:p w14:paraId="0CD31BE9">
      <w:pPr>
        <w:spacing w:line="360" w:lineRule="auto"/>
        <w:ind w:firstLine="600" w:firstLineChars="200"/>
        <w:rPr>
          <w:rFonts w:hint="eastAsia" w:ascii="宋体" w:hAnsi="宋体" w:eastAsia="宋体" w:cs="宋体"/>
          <w:bCs/>
          <w:color w:val="000000" w:themeColor="text1"/>
          <w:sz w:val="30"/>
          <w:szCs w:val="30"/>
          <w:highlight w:val="none"/>
        </w:rPr>
      </w:pPr>
      <w:r>
        <w:rPr>
          <w:rFonts w:hint="eastAsia" w:ascii="宋体" w:hAnsi="宋体" w:eastAsia="宋体" w:cs="宋体"/>
          <w:bCs/>
          <w:color w:val="000000" w:themeColor="text1"/>
          <w:sz w:val="30"/>
          <w:szCs w:val="30"/>
          <w:highlight w:val="none"/>
        </w:rPr>
        <w:t>项目支出</w:t>
      </w:r>
      <w:r>
        <w:rPr>
          <w:rFonts w:hint="eastAsia" w:ascii="宋体" w:hAnsi="宋体" w:eastAsia="宋体" w:cs="宋体"/>
          <w:bCs/>
          <w:color w:val="000000" w:themeColor="text1"/>
          <w:sz w:val="30"/>
          <w:szCs w:val="30"/>
          <w:highlight w:val="none"/>
          <w:lang w:eastAsia="zh-CN"/>
        </w:rPr>
        <w:t>指标</w:t>
      </w:r>
      <w:r>
        <w:rPr>
          <w:rFonts w:hint="eastAsia" w:ascii="宋体" w:hAnsi="宋体" w:eastAsia="宋体" w:cs="宋体"/>
          <w:bCs/>
          <w:color w:val="000000" w:themeColor="text1"/>
          <w:sz w:val="30"/>
          <w:szCs w:val="30"/>
          <w:highlight w:val="none"/>
          <w:lang w:val="en-US" w:eastAsia="zh-CN"/>
        </w:rPr>
        <w:t>30857.90</w:t>
      </w:r>
      <w:r>
        <w:rPr>
          <w:rFonts w:hint="eastAsia" w:ascii="宋体" w:hAnsi="宋体" w:eastAsia="宋体" w:cs="宋体"/>
          <w:bCs/>
          <w:color w:val="000000" w:themeColor="text1"/>
          <w:sz w:val="30"/>
          <w:szCs w:val="30"/>
          <w:highlight w:val="none"/>
        </w:rPr>
        <w:t>万元，支出决算数</w:t>
      </w:r>
      <w:r>
        <w:rPr>
          <w:rFonts w:hint="eastAsia" w:ascii="宋体" w:hAnsi="宋体" w:eastAsia="宋体" w:cs="宋体"/>
          <w:bCs/>
          <w:color w:val="000000" w:themeColor="text1"/>
          <w:sz w:val="30"/>
          <w:szCs w:val="30"/>
          <w:highlight w:val="none"/>
          <w:lang w:val="en-US" w:eastAsia="zh-CN"/>
        </w:rPr>
        <w:t>30857.90</w:t>
      </w:r>
      <w:r>
        <w:rPr>
          <w:rFonts w:hint="eastAsia" w:ascii="宋体" w:hAnsi="宋体" w:eastAsia="宋体" w:cs="宋体"/>
          <w:bCs/>
          <w:color w:val="000000" w:themeColor="text1"/>
          <w:sz w:val="30"/>
          <w:szCs w:val="30"/>
          <w:highlight w:val="none"/>
        </w:rPr>
        <w:t xml:space="preserve">万元，收支相符。 </w:t>
      </w:r>
    </w:p>
    <w:p w14:paraId="59E7A804">
      <w:pPr>
        <w:spacing w:line="360" w:lineRule="auto"/>
        <w:ind w:firstLine="602" w:firstLineChars="200"/>
        <w:rPr>
          <w:rFonts w:hint="eastAsia" w:ascii="宋体" w:hAnsi="宋体" w:eastAsia="宋体" w:cs="宋体"/>
          <w:b/>
          <w:bCs w:val="0"/>
          <w:color w:val="000000" w:themeColor="text1"/>
          <w:sz w:val="30"/>
          <w:szCs w:val="30"/>
          <w:highlight w:val="none"/>
          <w:lang w:eastAsia="zh-CN"/>
        </w:rPr>
      </w:pPr>
      <w:r>
        <w:rPr>
          <w:rFonts w:hint="eastAsia" w:ascii="宋体" w:hAnsi="宋体" w:eastAsia="宋体" w:cs="宋体"/>
          <w:b/>
          <w:bCs w:val="0"/>
          <w:color w:val="000000" w:themeColor="text1"/>
          <w:sz w:val="30"/>
          <w:szCs w:val="30"/>
          <w:highlight w:val="none"/>
        </w:rPr>
        <w:t>2.3、项目资金管理情况分析</w:t>
      </w:r>
      <w:r>
        <w:rPr>
          <w:rFonts w:hint="eastAsia" w:ascii="宋体" w:hAnsi="宋体" w:eastAsia="宋体" w:cs="宋体"/>
          <w:b/>
          <w:bCs w:val="0"/>
          <w:color w:val="000000" w:themeColor="text1"/>
          <w:sz w:val="30"/>
          <w:szCs w:val="30"/>
          <w:highlight w:val="none"/>
          <w:lang w:eastAsia="zh-CN"/>
        </w:rPr>
        <w:t>，主要包括管理制度、办法的制订及执行情况</w:t>
      </w:r>
    </w:p>
    <w:p w14:paraId="6E5CF1A3">
      <w:pPr>
        <w:spacing w:line="360" w:lineRule="auto"/>
        <w:ind w:firstLine="600" w:firstLineChars="200"/>
        <w:rPr>
          <w:rFonts w:hint="eastAsia" w:ascii="宋体" w:hAnsi="宋体" w:eastAsia="宋体" w:cs="宋体"/>
          <w:bCs/>
          <w:color w:val="auto"/>
          <w:sz w:val="30"/>
          <w:szCs w:val="30"/>
          <w:highlight w:val="none"/>
        </w:rPr>
      </w:pPr>
      <w:r>
        <w:rPr>
          <w:rFonts w:hint="eastAsia" w:ascii="宋体" w:hAnsi="宋体" w:eastAsia="宋体" w:cs="宋体"/>
          <w:bCs/>
          <w:color w:val="000000" w:themeColor="text1"/>
          <w:sz w:val="30"/>
          <w:szCs w:val="30"/>
          <w:highlight w:val="none"/>
        </w:rPr>
        <w:t>我局</w:t>
      </w:r>
      <w:r>
        <w:rPr>
          <w:rFonts w:hint="eastAsia" w:ascii="宋体" w:hAnsi="宋体" w:eastAsia="宋体" w:cs="宋体"/>
          <w:bCs/>
          <w:color w:val="000000" w:themeColor="text1"/>
          <w:sz w:val="30"/>
          <w:szCs w:val="30"/>
          <w:highlight w:val="none"/>
          <w:lang w:eastAsia="zh-CN"/>
        </w:rPr>
        <w:t>2023年</w:t>
      </w:r>
      <w:r>
        <w:rPr>
          <w:rFonts w:hint="eastAsia" w:ascii="宋体" w:hAnsi="宋体" w:eastAsia="宋体" w:cs="宋体"/>
          <w:bCs/>
          <w:color w:val="000000" w:themeColor="text1"/>
          <w:sz w:val="30"/>
          <w:szCs w:val="30"/>
          <w:highlight w:val="none"/>
        </w:rPr>
        <w:t>项目制定一些专门办法和细则，按照通用财务管理制度、办法进行了业务管理，设有专账或帐页核算，纳入财政统一核算管理，有单独的记账凭证、账本、会计报表，财务上由财务股负责管理，项目工程造价全部由社会中介、桃江县</w:t>
      </w:r>
      <w:r>
        <w:rPr>
          <w:rFonts w:hint="eastAsia" w:ascii="宋体" w:hAnsi="宋体" w:eastAsia="宋体" w:cs="宋体"/>
          <w:bCs/>
          <w:color w:val="auto"/>
          <w:sz w:val="30"/>
          <w:szCs w:val="30"/>
          <w:highlight w:val="none"/>
        </w:rPr>
        <w:t>审计局、桃江县财政投资评审中心审计,财务执行情况好，项目资金管理到位。</w:t>
      </w:r>
    </w:p>
    <w:p w14:paraId="4D6CBA0F">
      <w:pPr>
        <w:spacing w:line="360" w:lineRule="auto"/>
        <w:ind w:firstLine="600" w:firstLineChars="200"/>
        <w:rPr>
          <w:rFonts w:hint="eastAsia" w:ascii="宋体" w:hAnsi="宋体" w:eastAsia="宋体" w:cs="宋体"/>
          <w:bCs/>
          <w:color w:val="000000" w:themeColor="text1"/>
          <w:kern w:val="0"/>
          <w:sz w:val="30"/>
          <w:szCs w:val="30"/>
        </w:rPr>
      </w:pPr>
      <w:r>
        <w:rPr>
          <w:rFonts w:hint="eastAsia" w:ascii="宋体" w:hAnsi="宋体" w:eastAsia="宋体" w:cs="宋体"/>
          <w:bCs/>
          <w:color w:val="000000" w:themeColor="text1"/>
          <w:kern w:val="0"/>
          <w:sz w:val="30"/>
          <w:szCs w:val="30"/>
        </w:rPr>
        <w:t>三、项目组织实施情况分析</w:t>
      </w:r>
    </w:p>
    <w:p w14:paraId="34B197D0">
      <w:pPr>
        <w:spacing w:line="360" w:lineRule="auto"/>
        <w:ind w:firstLine="602" w:firstLineChars="200"/>
        <w:rPr>
          <w:rFonts w:hint="eastAsia" w:ascii="宋体" w:hAnsi="宋体" w:eastAsia="宋体" w:cs="宋体"/>
          <w:b/>
          <w:color w:val="000000" w:themeColor="text1"/>
          <w:sz w:val="30"/>
          <w:szCs w:val="30"/>
          <w:highlight w:val="none"/>
        </w:rPr>
      </w:pPr>
      <w:r>
        <w:rPr>
          <w:rFonts w:hint="eastAsia" w:ascii="宋体" w:hAnsi="宋体" w:eastAsia="宋体" w:cs="宋体"/>
          <w:b/>
          <w:color w:val="000000" w:themeColor="text1"/>
          <w:sz w:val="30"/>
          <w:szCs w:val="30"/>
          <w:highlight w:val="none"/>
        </w:rPr>
        <w:t>（一）项目</w:t>
      </w:r>
      <w:r>
        <w:rPr>
          <w:rFonts w:hint="eastAsia" w:ascii="宋体" w:hAnsi="宋体" w:eastAsia="宋体" w:cs="宋体"/>
          <w:b/>
          <w:color w:val="000000" w:themeColor="text1"/>
          <w:kern w:val="21"/>
          <w:sz w:val="30"/>
          <w:szCs w:val="30"/>
          <w:highlight w:val="none"/>
        </w:rPr>
        <w:t>组织情</w:t>
      </w:r>
      <w:r>
        <w:rPr>
          <w:rFonts w:hint="eastAsia" w:ascii="宋体" w:hAnsi="宋体" w:eastAsia="宋体" w:cs="宋体"/>
          <w:b/>
          <w:color w:val="000000" w:themeColor="text1"/>
          <w:sz w:val="30"/>
          <w:szCs w:val="30"/>
          <w:highlight w:val="none"/>
        </w:rPr>
        <w:t>况分析</w:t>
      </w:r>
    </w:p>
    <w:p w14:paraId="3C6A67EC">
      <w:pPr>
        <w:spacing w:line="360" w:lineRule="auto"/>
        <w:ind w:firstLine="600" w:firstLineChars="200"/>
        <w:rPr>
          <w:rFonts w:hint="eastAsia" w:ascii="宋体" w:hAnsi="宋体" w:eastAsia="宋体" w:cs="宋体"/>
          <w:bCs/>
          <w:color w:val="auto"/>
          <w:sz w:val="30"/>
          <w:szCs w:val="30"/>
          <w:highlight w:val="none"/>
        </w:rPr>
      </w:pPr>
      <w:r>
        <w:rPr>
          <w:rFonts w:hint="eastAsia" w:ascii="宋体" w:hAnsi="宋体" w:eastAsia="宋体" w:cs="宋体"/>
          <w:bCs/>
          <w:color w:val="auto"/>
          <w:sz w:val="30"/>
          <w:szCs w:val="30"/>
          <w:highlight w:val="none"/>
          <w:lang w:eastAsia="zh-CN"/>
        </w:rPr>
        <w:t>2023年</w:t>
      </w:r>
      <w:r>
        <w:rPr>
          <w:rFonts w:hint="eastAsia" w:ascii="宋体" w:hAnsi="宋体" w:eastAsia="宋体" w:cs="宋体"/>
          <w:bCs/>
          <w:color w:val="auto"/>
          <w:sz w:val="30"/>
          <w:szCs w:val="30"/>
          <w:highlight w:val="none"/>
        </w:rPr>
        <w:t>度项目中</w:t>
      </w:r>
      <w:r>
        <w:rPr>
          <w:rFonts w:hint="eastAsia" w:ascii="宋体" w:hAnsi="宋体" w:eastAsia="宋体" w:cs="宋体"/>
          <w:bCs/>
          <w:color w:val="auto"/>
          <w:kern w:val="21"/>
          <w:sz w:val="30"/>
          <w:szCs w:val="30"/>
          <w:highlight w:val="none"/>
        </w:rPr>
        <w:t>财政项目资金和非财政专项资金</w:t>
      </w:r>
      <w:r>
        <w:rPr>
          <w:rFonts w:hint="eastAsia" w:ascii="宋体" w:hAnsi="宋体" w:eastAsia="宋体" w:cs="宋体"/>
          <w:bCs/>
          <w:color w:val="auto"/>
          <w:sz w:val="30"/>
          <w:szCs w:val="30"/>
          <w:highlight w:val="none"/>
        </w:rPr>
        <w:t>主管部门为局机关，项目实施单位为机关</w:t>
      </w:r>
      <w:r>
        <w:rPr>
          <w:rFonts w:hint="eastAsia" w:ascii="宋体" w:hAnsi="宋体" w:eastAsia="宋体" w:cs="宋体"/>
          <w:bCs/>
          <w:color w:val="auto"/>
          <w:kern w:val="21"/>
          <w:sz w:val="30"/>
          <w:szCs w:val="30"/>
          <w:highlight w:val="none"/>
        </w:rPr>
        <w:t>各股室、二级机构，项目</w:t>
      </w:r>
      <w:r>
        <w:rPr>
          <w:rFonts w:hint="eastAsia" w:ascii="宋体" w:hAnsi="宋体" w:eastAsia="宋体" w:cs="宋体"/>
          <w:bCs/>
          <w:color w:val="auto"/>
          <w:sz w:val="30"/>
          <w:szCs w:val="30"/>
          <w:highlight w:val="none"/>
        </w:rPr>
        <w:t>具体用途为工作经费和具体工程或技术项目，工程或技术具体项目与施工单位（技术服务单位）签订合同</w:t>
      </w:r>
      <w:r>
        <w:rPr>
          <w:rFonts w:hint="eastAsia" w:ascii="宋体" w:hAnsi="宋体" w:eastAsia="宋体" w:cs="宋体"/>
          <w:bCs/>
          <w:color w:val="auto"/>
          <w:kern w:val="21"/>
          <w:sz w:val="30"/>
          <w:szCs w:val="30"/>
          <w:highlight w:val="none"/>
        </w:rPr>
        <w:t>，合同采用招投标（政府采购）形式，工程或技术项目完成后提供了成果文件资料,进行了监理、验收、审核、上级确认等工作程序</w:t>
      </w:r>
      <w:r>
        <w:rPr>
          <w:rFonts w:hint="eastAsia" w:ascii="宋体" w:hAnsi="宋体" w:eastAsia="宋体" w:cs="宋体"/>
          <w:bCs/>
          <w:color w:val="auto"/>
          <w:kern w:val="21"/>
          <w:sz w:val="30"/>
          <w:szCs w:val="30"/>
          <w:highlight w:val="none"/>
          <w:lang w:eastAsia="zh-CN"/>
        </w:rPr>
        <w:t>，当年任务已完成竣工验收工作</w:t>
      </w:r>
      <w:r>
        <w:rPr>
          <w:rFonts w:hint="eastAsia" w:ascii="宋体" w:hAnsi="宋体" w:eastAsia="宋体" w:cs="宋体"/>
          <w:bCs/>
          <w:color w:val="auto"/>
          <w:kern w:val="21"/>
          <w:sz w:val="30"/>
          <w:szCs w:val="30"/>
          <w:highlight w:val="none"/>
        </w:rPr>
        <w:t xml:space="preserve">。工作经费经过预算申报、上级部门文件确认和报帐财务审批，实施情况好。   </w:t>
      </w:r>
    </w:p>
    <w:p w14:paraId="14B13315">
      <w:pPr>
        <w:spacing w:line="360" w:lineRule="auto"/>
        <w:ind w:firstLine="602" w:firstLineChars="200"/>
        <w:rPr>
          <w:rFonts w:hint="eastAsia" w:ascii="宋体" w:hAnsi="宋体" w:eastAsia="宋体" w:cs="宋体"/>
          <w:b/>
          <w:color w:val="000000" w:themeColor="text1"/>
          <w:sz w:val="30"/>
          <w:szCs w:val="30"/>
          <w:highlight w:val="none"/>
        </w:rPr>
      </w:pPr>
      <w:r>
        <w:rPr>
          <w:rFonts w:hint="eastAsia" w:ascii="宋体" w:hAnsi="宋体" w:eastAsia="宋体" w:cs="宋体"/>
          <w:b/>
          <w:color w:val="000000" w:themeColor="text1"/>
          <w:sz w:val="30"/>
          <w:szCs w:val="30"/>
          <w:highlight w:val="none"/>
        </w:rPr>
        <w:t>（二）项目管理情况分析</w:t>
      </w:r>
    </w:p>
    <w:p w14:paraId="1A1D9F54">
      <w:pPr>
        <w:spacing w:line="360" w:lineRule="auto"/>
        <w:ind w:firstLine="600" w:firstLineChars="200"/>
        <w:rPr>
          <w:rFonts w:hint="eastAsia" w:ascii="宋体" w:hAnsi="宋体" w:eastAsia="宋体" w:cs="宋体"/>
          <w:bCs/>
          <w:color w:val="auto"/>
          <w:sz w:val="30"/>
          <w:szCs w:val="30"/>
          <w:highlight w:val="none"/>
        </w:rPr>
      </w:pPr>
      <w:r>
        <w:rPr>
          <w:rFonts w:hint="eastAsia" w:ascii="宋体" w:hAnsi="宋体" w:eastAsia="宋体" w:cs="宋体"/>
          <w:bCs/>
          <w:color w:val="000000" w:themeColor="text1"/>
          <w:sz w:val="30"/>
          <w:szCs w:val="30"/>
          <w:highlight w:val="none"/>
        </w:rPr>
        <w:t>我局</w:t>
      </w:r>
      <w:r>
        <w:rPr>
          <w:rFonts w:hint="eastAsia" w:ascii="宋体" w:hAnsi="宋体" w:eastAsia="宋体" w:cs="宋体"/>
          <w:bCs/>
          <w:color w:val="000000" w:themeColor="text1"/>
          <w:sz w:val="30"/>
          <w:szCs w:val="30"/>
          <w:highlight w:val="none"/>
          <w:lang w:eastAsia="zh-CN"/>
        </w:rPr>
        <w:t>2023年</w:t>
      </w:r>
      <w:r>
        <w:rPr>
          <w:rFonts w:hint="eastAsia" w:ascii="宋体" w:hAnsi="宋体" w:eastAsia="宋体" w:cs="宋体"/>
          <w:bCs/>
          <w:color w:val="000000" w:themeColor="text1"/>
          <w:sz w:val="30"/>
          <w:szCs w:val="30"/>
          <w:highlight w:val="none"/>
        </w:rPr>
        <w:t>度项目资金有组织机构、制度和管理办法，</w:t>
      </w:r>
      <w:r>
        <w:rPr>
          <w:rFonts w:hint="eastAsia" w:ascii="宋体" w:hAnsi="宋体" w:eastAsia="宋体" w:cs="宋体"/>
          <w:bCs/>
          <w:color w:val="000000" w:themeColor="text1"/>
          <w:kern w:val="21"/>
          <w:sz w:val="30"/>
          <w:szCs w:val="30"/>
          <w:highlight w:val="none"/>
        </w:rPr>
        <w:t>并专门制定了一些工作办法和细则并严格执行</w:t>
      </w:r>
      <w:r>
        <w:rPr>
          <w:rFonts w:hint="eastAsia" w:ascii="宋体" w:hAnsi="宋体" w:eastAsia="宋体" w:cs="宋体"/>
          <w:bCs/>
          <w:color w:val="auto"/>
          <w:kern w:val="21"/>
          <w:sz w:val="30"/>
          <w:szCs w:val="30"/>
          <w:highlight w:val="none"/>
        </w:rPr>
        <w:t>。</w:t>
      </w:r>
      <w:r>
        <w:rPr>
          <w:rFonts w:hint="eastAsia" w:ascii="宋体" w:hAnsi="宋体" w:eastAsia="宋体" w:cs="宋体"/>
          <w:bCs/>
          <w:color w:val="auto"/>
          <w:sz w:val="30"/>
          <w:szCs w:val="30"/>
          <w:highlight w:val="none"/>
        </w:rPr>
        <w:t>项目由机关</w:t>
      </w:r>
      <w:r>
        <w:rPr>
          <w:rFonts w:hint="eastAsia" w:ascii="宋体" w:hAnsi="宋体" w:eastAsia="宋体" w:cs="宋体"/>
          <w:bCs/>
          <w:color w:val="auto"/>
          <w:kern w:val="21"/>
          <w:sz w:val="30"/>
          <w:szCs w:val="30"/>
          <w:highlight w:val="none"/>
        </w:rPr>
        <w:t>各股室、二级机构组织实施和</w:t>
      </w:r>
      <w:r>
        <w:rPr>
          <w:rFonts w:hint="eastAsia" w:ascii="宋体" w:hAnsi="宋体" w:eastAsia="宋体" w:cs="宋体"/>
          <w:bCs/>
          <w:color w:val="auto"/>
          <w:sz w:val="30"/>
          <w:szCs w:val="30"/>
          <w:highlight w:val="none"/>
        </w:rPr>
        <w:t>日常监督管理，有关部门不定期检查，按时保质保量同时节约成本费用地完成项目目标，具有长期的经济、生态、环境、社会效益，群众很满意，项目管理情况好。</w:t>
      </w:r>
    </w:p>
    <w:p w14:paraId="3B31AA9B">
      <w:pPr>
        <w:spacing w:line="360" w:lineRule="auto"/>
        <w:ind w:firstLine="600" w:firstLineChars="200"/>
        <w:rPr>
          <w:rFonts w:hint="eastAsia" w:ascii="宋体" w:hAnsi="宋体" w:eastAsia="宋体" w:cs="宋体"/>
          <w:bCs/>
          <w:color w:val="000000" w:themeColor="text1"/>
          <w:kern w:val="0"/>
          <w:sz w:val="30"/>
          <w:szCs w:val="30"/>
        </w:rPr>
      </w:pPr>
      <w:r>
        <w:rPr>
          <w:rFonts w:hint="eastAsia" w:ascii="宋体" w:hAnsi="宋体" w:eastAsia="宋体" w:cs="宋体"/>
          <w:bCs/>
          <w:color w:val="000000" w:themeColor="text1"/>
          <w:kern w:val="0"/>
          <w:sz w:val="30"/>
          <w:szCs w:val="30"/>
        </w:rPr>
        <w:t>四、部门整体支出绩效情况分析</w:t>
      </w:r>
    </w:p>
    <w:p w14:paraId="22DC8157">
      <w:pPr>
        <w:spacing w:line="360" w:lineRule="auto"/>
        <w:ind w:firstLine="600" w:firstLineChars="200"/>
        <w:rPr>
          <w:rFonts w:hint="eastAsia" w:ascii="宋体" w:hAnsi="宋体" w:eastAsia="宋体" w:cs="宋体"/>
          <w:color w:val="FF0000"/>
          <w:sz w:val="30"/>
          <w:szCs w:val="30"/>
        </w:rPr>
      </w:pPr>
      <w:r>
        <w:rPr>
          <w:rFonts w:hint="eastAsia" w:ascii="宋体" w:hAnsi="宋体" w:eastAsia="宋体" w:cs="宋体"/>
          <w:color w:val="000000" w:themeColor="text1"/>
          <w:sz w:val="30"/>
          <w:szCs w:val="30"/>
          <w:lang w:val="en-US" w:eastAsia="zh-CN"/>
        </w:rPr>
        <w:t>2023年</w:t>
      </w:r>
      <w:r>
        <w:rPr>
          <w:rFonts w:hint="eastAsia" w:ascii="宋体" w:hAnsi="宋体" w:eastAsia="宋体" w:cs="宋体"/>
          <w:color w:val="000000" w:themeColor="text1"/>
          <w:sz w:val="30"/>
          <w:szCs w:val="30"/>
        </w:rPr>
        <w:t>，在县委县政府的坚强领导下，我局紧扣县委“12345”工作思路和县政府“六七八九十”工作要点，</w:t>
      </w:r>
      <w:r>
        <w:rPr>
          <w:rFonts w:hint="eastAsia" w:ascii="宋体" w:hAnsi="宋体" w:eastAsia="宋体" w:cs="宋体"/>
          <w:color w:val="000000" w:themeColor="text1"/>
          <w:sz w:val="30"/>
          <w:szCs w:val="30"/>
          <w:shd w:val="clear" w:color="auto" w:fill="FFFFFF"/>
        </w:rPr>
        <w:t>突出抓好</w:t>
      </w:r>
      <w:r>
        <w:rPr>
          <w:rFonts w:hint="eastAsia" w:ascii="宋体" w:hAnsi="宋体" w:eastAsia="宋体" w:cs="宋体"/>
          <w:color w:val="000000" w:themeColor="text1"/>
          <w:sz w:val="30"/>
          <w:szCs w:val="30"/>
        </w:rPr>
        <w:t>房地产</w:t>
      </w:r>
      <w:r>
        <w:rPr>
          <w:rFonts w:hint="eastAsia" w:ascii="宋体" w:hAnsi="宋体" w:eastAsia="宋体" w:cs="宋体"/>
          <w:color w:val="000000" w:themeColor="text1"/>
          <w:sz w:val="30"/>
          <w:szCs w:val="30"/>
          <w:shd w:val="clear" w:color="auto" w:fill="FFFFFF"/>
        </w:rPr>
        <w:t>、项目建设、民生改善等重点工作</w:t>
      </w:r>
      <w:r>
        <w:rPr>
          <w:rFonts w:hint="eastAsia" w:ascii="宋体" w:hAnsi="宋体" w:eastAsia="宋体" w:cs="宋体"/>
          <w:color w:val="000000"/>
          <w:sz w:val="30"/>
          <w:szCs w:val="30"/>
          <w:shd w:val="clear" w:color="auto" w:fill="FFFFFF"/>
          <w:lang w:eastAsia="zh-CN"/>
        </w:rPr>
        <w:t>，聚焦主业，主动作为，保障服务职能履职到位，各项工作目标任务圆满完成,具体绩效情况如下：</w:t>
      </w:r>
    </w:p>
    <w:p w14:paraId="66B18E67">
      <w:pPr>
        <w:spacing w:line="360" w:lineRule="auto"/>
        <w:ind w:firstLine="602" w:firstLineChars="200"/>
        <w:rPr>
          <w:rFonts w:hint="eastAsia" w:ascii="宋体" w:hAnsi="宋体" w:eastAsia="宋体" w:cs="宋体"/>
          <w:b/>
          <w:color w:val="auto"/>
          <w:kern w:val="21"/>
          <w:sz w:val="30"/>
          <w:szCs w:val="30"/>
          <w:highlight w:val="none"/>
        </w:rPr>
      </w:pPr>
      <w:r>
        <w:rPr>
          <w:rFonts w:hint="eastAsia" w:ascii="宋体" w:hAnsi="宋体" w:eastAsia="宋体" w:cs="宋体"/>
          <w:b/>
          <w:color w:val="auto"/>
          <w:kern w:val="21"/>
          <w:sz w:val="30"/>
          <w:szCs w:val="30"/>
          <w:highlight w:val="none"/>
        </w:rPr>
        <w:t>(一) 经济性（预算）绩效</w:t>
      </w:r>
    </w:p>
    <w:p w14:paraId="58F2C822">
      <w:pPr>
        <w:spacing w:line="360" w:lineRule="auto"/>
        <w:ind w:firstLine="602" w:firstLineChars="200"/>
        <w:rPr>
          <w:rFonts w:hint="eastAsia" w:ascii="宋体" w:hAnsi="宋体" w:eastAsia="宋体" w:cs="宋体"/>
          <w:b/>
          <w:color w:val="auto"/>
          <w:kern w:val="21"/>
          <w:sz w:val="30"/>
          <w:szCs w:val="30"/>
          <w:highlight w:val="none"/>
        </w:rPr>
      </w:pPr>
      <w:r>
        <w:rPr>
          <w:rFonts w:hint="eastAsia" w:ascii="宋体" w:hAnsi="宋体" w:eastAsia="宋体" w:cs="宋体"/>
          <w:b/>
          <w:color w:val="auto"/>
          <w:kern w:val="21"/>
          <w:sz w:val="30"/>
          <w:szCs w:val="30"/>
          <w:highlight w:val="none"/>
        </w:rPr>
        <w:t>1、预算</w:t>
      </w:r>
      <w:r>
        <w:rPr>
          <w:rFonts w:hint="eastAsia" w:ascii="宋体" w:hAnsi="宋体" w:eastAsia="宋体" w:cs="宋体"/>
          <w:b/>
          <w:color w:val="auto"/>
          <w:kern w:val="21"/>
          <w:sz w:val="30"/>
          <w:szCs w:val="30"/>
          <w:highlight w:val="none"/>
          <w:lang w:eastAsia="zh-CN"/>
        </w:rPr>
        <w:t>人员</w:t>
      </w:r>
      <w:r>
        <w:rPr>
          <w:rFonts w:hint="eastAsia" w:ascii="宋体" w:hAnsi="宋体" w:eastAsia="宋体" w:cs="宋体"/>
          <w:b/>
          <w:color w:val="auto"/>
          <w:kern w:val="21"/>
          <w:sz w:val="30"/>
          <w:szCs w:val="30"/>
          <w:highlight w:val="none"/>
        </w:rPr>
        <w:t>配置。</w:t>
      </w:r>
    </w:p>
    <w:p w14:paraId="27197E41">
      <w:pPr>
        <w:spacing w:line="360" w:lineRule="auto"/>
        <w:ind w:firstLine="600" w:firstLineChars="200"/>
        <w:rPr>
          <w:rFonts w:hint="eastAsia" w:ascii="宋体" w:hAnsi="宋体" w:eastAsia="宋体" w:cs="宋体"/>
          <w:bCs/>
          <w:color w:val="000000" w:themeColor="text1"/>
          <w:kern w:val="21"/>
          <w:sz w:val="30"/>
          <w:szCs w:val="30"/>
          <w:highlight w:val="none"/>
        </w:rPr>
      </w:pPr>
      <w:r>
        <w:rPr>
          <w:rFonts w:hint="eastAsia" w:ascii="宋体" w:hAnsi="宋体" w:eastAsia="宋体" w:cs="宋体"/>
          <w:bCs/>
          <w:color w:val="000000" w:themeColor="text1"/>
          <w:kern w:val="21"/>
          <w:sz w:val="30"/>
          <w:szCs w:val="30"/>
          <w:highlight w:val="none"/>
        </w:rPr>
        <w:t>截止</w:t>
      </w:r>
      <w:r>
        <w:rPr>
          <w:rFonts w:hint="eastAsia" w:ascii="宋体" w:hAnsi="宋体" w:eastAsia="宋体" w:cs="宋体"/>
          <w:bCs/>
          <w:color w:val="000000" w:themeColor="text1"/>
          <w:kern w:val="21"/>
          <w:sz w:val="30"/>
          <w:szCs w:val="30"/>
          <w:highlight w:val="none"/>
          <w:lang w:eastAsia="zh-CN"/>
        </w:rPr>
        <w:t>2023年</w:t>
      </w:r>
      <w:r>
        <w:rPr>
          <w:rFonts w:hint="eastAsia" w:ascii="宋体" w:hAnsi="宋体" w:eastAsia="宋体" w:cs="宋体"/>
          <w:bCs/>
          <w:color w:val="000000" w:themeColor="text1"/>
          <w:kern w:val="21"/>
          <w:sz w:val="30"/>
          <w:szCs w:val="30"/>
          <w:highlight w:val="none"/>
        </w:rPr>
        <w:t>12月31日县编办核定我局编制</w:t>
      </w:r>
      <w:r>
        <w:rPr>
          <w:rFonts w:hint="eastAsia" w:ascii="宋体" w:hAnsi="宋体" w:eastAsia="宋体" w:cs="宋体"/>
          <w:bCs/>
          <w:color w:val="000000" w:themeColor="text1"/>
          <w:kern w:val="21"/>
          <w:sz w:val="30"/>
          <w:szCs w:val="30"/>
          <w:highlight w:val="none"/>
          <w:lang w:val="en-US" w:eastAsia="zh-CN"/>
        </w:rPr>
        <w:t>115</w:t>
      </w:r>
      <w:r>
        <w:rPr>
          <w:rFonts w:hint="eastAsia" w:ascii="宋体" w:hAnsi="宋体" w:eastAsia="宋体" w:cs="宋体"/>
          <w:bCs/>
          <w:color w:val="000000" w:themeColor="text1"/>
          <w:kern w:val="21"/>
          <w:sz w:val="30"/>
          <w:szCs w:val="30"/>
          <w:highlight w:val="none"/>
        </w:rPr>
        <w:t>名，</w:t>
      </w:r>
      <w:r>
        <w:rPr>
          <w:rFonts w:hint="eastAsia" w:ascii="宋体" w:hAnsi="宋体" w:eastAsia="宋体" w:cs="宋体"/>
          <w:bCs/>
          <w:color w:val="000000" w:themeColor="text1"/>
          <w:sz w:val="30"/>
          <w:szCs w:val="30"/>
          <w:highlight w:val="none"/>
        </w:rPr>
        <w:t>实际为</w:t>
      </w:r>
      <w:r>
        <w:rPr>
          <w:rFonts w:hint="eastAsia" w:ascii="宋体" w:hAnsi="宋体" w:eastAsia="宋体" w:cs="宋体"/>
          <w:bCs/>
          <w:color w:val="000000" w:themeColor="text1"/>
          <w:sz w:val="30"/>
          <w:szCs w:val="30"/>
          <w:highlight w:val="none"/>
          <w:lang w:val="en-US" w:eastAsia="zh-CN"/>
        </w:rPr>
        <w:t>115</w:t>
      </w:r>
      <w:r>
        <w:rPr>
          <w:rFonts w:hint="eastAsia" w:ascii="宋体" w:hAnsi="宋体" w:eastAsia="宋体" w:cs="宋体"/>
          <w:bCs/>
          <w:color w:val="000000" w:themeColor="text1"/>
          <w:sz w:val="30"/>
          <w:szCs w:val="30"/>
          <w:highlight w:val="none"/>
        </w:rPr>
        <w:t>人，其中纳入财政全额预算</w:t>
      </w:r>
      <w:r>
        <w:rPr>
          <w:rFonts w:hint="eastAsia" w:ascii="宋体" w:hAnsi="宋体" w:eastAsia="宋体" w:cs="宋体"/>
          <w:bCs/>
          <w:color w:val="000000" w:themeColor="text1"/>
          <w:sz w:val="30"/>
          <w:szCs w:val="30"/>
          <w:highlight w:val="none"/>
          <w:lang w:val="en-US" w:eastAsia="zh-CN"/>
        </w:rPr>
        <w:t>56</w:t>
      </w:r>
      <w:r>
        <w:rPr>
          <w:rFonts w:hint="eastAsia" w:ascii="宋体" w:hAnsi="宋体" w:eastAsia="宋体" w:cs="宋体"/>
          <w:bCs/>
          <w:color w:val="000000" w:themeColor="text1"/>
          <w:sz w:val="30"/>
          <w:szCs w:val="30"/>
          <w:highlight w:val="none"/>
        </w:rPr>
        <w:t>人，</w:t>
      </w:r>
      <w:r>
        <w:rPr>
          <w:rFonts w:hint="eastAsia" w:ascii="宋体" w:hAnsi="宋体" w:eastAsia="宋体" w:cs="宋体"/>
          <w:bCs/>
          <w:color w:val="000000" w:themeColor="text1"/>
          <w:sz w:val="30"/>
          <w:szCs w:val="30"/>
          <w:highlight w:val="none"/>
          <w:lang w:eastAsia="zh-CN"/>
        </w:rPr>
        <w:t>差额预算</w:t>
      </w:r>
      <w:r>
        <w:rPr>
          <w:rFonts w:hint="eastAsia" w:ascii="宋体" w:hAnsi="宋体" w:eastAsia="宋体" w:cs="宋体"/>
          <w:bCs/>
          <w:color w:val="000000" w:themeColor="text1"/>
          <w:sz w:val="30"/>
          <w:szCs w:val="30"/>
          <w:highlight w:val="none"/>
          <w:lang w:val="en-US" w:eastAsia="zh-CN"/>
        </w:rPr>
        <w:t>10人,</w:t>
      </w:r>
      <w:r>
        <w:rPr>
          <w:rFonts w:hint="eastAsia" w:ascii="宋体" w:hAnsi="宋体" w:eastAsia="宋体" w:cs="宋体"/>
          <w:bCs/>
          <w:color w:val="000000" w:themeColor="text1"/>
          <w:sz w:val="30"/>
          <w:szCs w:val="30"/>
          <w:highlight w:val="none"/>
        </w:rPr>
        <w:t>自收自支</w:t>
      </w:r>
      <w:r>
        <w:rPr>
          <w:rFonts w:hint="eastAsia" w:ascii="宋体" w:hAnsi="宋体" w:eastAsia="宋体" w:cs="宋体"/>
          <w:bCs/>
          <w:color w:val="000000" w:themeColor="text1"/>
          <w:sz w:val="30"/>
          <w:szCs w:val="30"/>
          <w:highlight w:val="none"/>
          <w:lang w:val="en-US" w:eastAsia="zh-CN"/>
        </w:rPr>
        <w:t>49</w:t>
      </w:r>
      <w:r>
        <w:rPr>
          <w:rFonts w:hint="eastAsia" w:ascii="宋体" w:hAnsi="宋体" w:eastAsia="宋体" w:cs="宋体"/>
          <w:bCs/>
          <w:color w:val="000000" w:themeColor="text1"/>
          <w:sz w:val="30"/>
          <w:szCs w:val="30"/>
          <w:highlight w:val="none"/>
        </w:rPr>
        <w:t>人</w:t>
      </w:r>
      <w:r>
        <w:rPr>
          <w:rFonts w:hint="eastAsia" w:ascii="宋体" w:hAnsi="宋体" w:eastAsia="宋体" w:cs="宋体"/>
          <w:bCs/>
          <w:color w:val="000000" w:themeColor="text1"/>
          <w:kern w:val="21"/>
          <w:sz w:val="30"/>
          <w:szCs w:val="30"/>
          <w:highlight w:val="none"/>
        </w:rPr>
        <w:t>，人员控制率为100%。</w:t>
      </w:r>
    </w:p>
    <w:p w14:paraId="134178F6">
      <w:pPr>
        <w:spacing w:line="360" w:lineRule="auto"/>
        <w:ind w:firstLine="602" w:firstLineChars="200"/>
        <w:rPr>
          <w:rFonts w:hint="eastAsia" w:ascii="宋体" w:hAnsi="宋体" w:eastAsia="宋体" w:cs="宋体"/>
          <w:b/>
          <w:color w:val="000000" w:themeColor="text1"/>
          <w:kern w:val="21"/>
          <w:sz w:val="30"/>
          <w:szCs w:val="30"/>
          <w:highlight w:val="none"/>
        </w:rPr>
      </w:pPr>
      <w:r>
        <w:rPr>
          <w:rFonts w:hint="eastAsia" w:ascii="宋体" w:hAnsi="宋体" w:eastAsia="宋体" w:cs="宋体"/>
          <w:b/>
          <w:color w:val="000000" w:themeColor="text1"/>
          <w:kern w:val="21"/>
          <w:sz w:val="30"/>
          <w:szCs w:val="30"/>
          <w:highlight w:val="none"/>
        </w:rPr>
        <w:t>2、预算执行</w:t>
      </w:r>
    </w:p>
    <w:p w14:paraId="45BE508C">
      <w:pPr>
        <w:spacing w:line="360" w:lineRule="auto"/>
        <w:ind w:firstLine="600" w:firstLineChars="200"/>
        <w:rPr>
          <w:rFonts w:hint="eastAsia" w:ascii="宋体" w:hAnsi="宋体" w:eastAsia="宋体" w:cs="宋体"/>
          <w:bCs/>
          <w:color w:val="000000" w:themeColor="text1"/>
          <w:kern w:val="21"/>
          <w:sz w:val="30"/>
          <w:szCs w:val="30"/>
          <w:highlight w:val="none"/>
        </w:rPr>
      </w:pPr>
      <w:r>
        <w:rPr>
          <w:rFonts w:hint="eastAsia" w:ascii="宋体" w:hAnsi="宋体" w:eastAsia="宋体" w:cs="宋体"/>
          <w:bCs/>
          <w:color w:val="000000" w:themeColor="text1"/>
          <w:kern w:val="21"/>
          <w:sz w:val="30"/>
          <w:szCs w:val="30"/>
          <w:highlight w:val="none"/>
        </w:rPr>
        <w:t>我局</w:t>
      </w:r>
      <w:r>
        <w:rPr>
          <w:rFonts w:hint="eastAsia" w:ascii="宋体" w:hAnsi="宋体" w:eastAsia="宋体" w:cs="宋体"/>
          <w:bCs/>
          <w:color w:val="000000" w:themeColor="text1"/>
          <w:kern w:val="21"/>
          <w:sz w:val="30"/>
          <w:szCs w:val="30"/>
          <w:highlight w:val="none"/>
          <w:lang w:eastAsia="zh-CN"/>
        </w:rPr>
        <w:t>2023年财政</w:t>
      </w:r>
      <w:r>
        <w:rPr>
          <w:rFonts w:hint="eastAsia" w:ascii="宋体" w:hAnsi="宋体" w:eastAsia="宋体" w:cs="宋体"/>
          <w:bCs/>
          <w:color w:val="000000" w:themeColor="text1"/>
          <w:kern w:val="21"/>
          <w:sz w:val="30"/>
          <w:szCs w:val="30"/>
          <w:highlight w:val="none"/>
        </w:rPr>
        <w:t>总预算收入</w:t>
      </w:r>
      <w:r>
        <w:rPr>
          <w:rFonts w:hint="eastAsia" w:ascii="宋体" w:hAnsi="宋体" w:eastAsia="宋体" w:cs="宋体"/>
          <w:bCs/>
          <w:color w:val="auto"/>
          <w:sz w:val="30"/>
          <w:szCs w:val="30"/>
          <w:highlight w:val="none"/>
          <w:lang w:val="en-US" w:eastAsia="zh-CN"/>
        </w:rPr>
        <w:t>31756.58</w:t>
      </w:r>
      <w:r>
        <w:rPr>
          <w:rFonts w:hint="eastAsia" w:ascii="宋体" w:hAnsi="宋体" w:eastAsia="宋体" w:cs="宋体"/>
          <w:bCs/>
          <w:color w:val="000000" w:themeColor="text1"/>
          <w:kern w:val="21"/>
          <w:sz w:val="30"/>
          <w:szCs w:val="30"/>
          <w:highlight w:val="none"/>
        </w:rPr>
        <w:t>万元，实际支出</w:t>
      </w:r>
      <w:r>
        <w:rPr>
          <w:rFonts w:hint="eastAsia" w:ascii="宋体" w:hAnsi="宋体" w:eastAsia="宋体" w:cs="宋体"/>
          <w:bCs/>
          <w:color w:val="auto"/>
          <w:sz w:val="30"/>
          <w:szCs w:val="30"/>
          <w:highlight w:val="none"/>
          <w:lang w:val="en-US" w:eastAsia="zh-CN"/>
        </w:rPr>
        <w:t>31756.58</w:t>
      </w:r>
      <w:r>
        <w:rPr>
          <w:rFonts w:hint="eastAsia" w:ascii="宋体" w:hAnsi="宋体" w:eastAsia="宋体" w:cs="宋体"/>
          <w:bCs/>
          <w:color w:val="000000" w:themeColor="text1"/>
          <w:kern w:val="21"/>
          <w:sz w:val="30"/>
          <w:szCs w:val="30"/>
          <w:highlight w:val="none"/>
        </w:rPr>
        <w:t>万元，结转结余</w:t>
      </w:r>
      <w:r>
        <w:rPr>
          <w:rFonts w:hint="eastAsia" w:ascii="宋体" w:hAnsi="宋体" w:eastAsia="宋体" w:cs="宋体"/>
          <w:bCs/>
          <w:color w:val="000000" w:themeColor="text1"/>
          <w:kern w:val="21"/>
          <w:sz w:val="30"/>
          <w:szCs w:val="30"/>
          <w:highlight w:val="none"/>
          <w:lang w:val="en-US" w:eastAsia="zh-CN"/>
        </w:rPr>
        <w:t>0.00</w:t>
      </w:r>
      <w:r>
        <w:rPr>
          <w:rFonts w:hint="eastAsia" w:ascii="宋体" w:hAnsi="宋体" w:eastAsia="宋体" w:cs="宋体"/>
          <w:bCs/>
          <w:color w:val="000000" w:themeColor="text1"/>
          <w:kern w:val="21"/>
          <w:sz w:val="30"/>
          <w:szCs w:val="30"/>
          <w:highlight w:val="none"/>
        </w:rPr>
        <w:t>万元,预算控制率为</w:t>
      </w:r>
      <w:r>
        <w:rPr>
          <w:rFonts w:hint="eastAsia" w:ascii="宋体" w:hAnsi="宋体" w:eastAsia="宋体" w:cs="宋体"/>
          <w:bCs/>
          <w:color w:val="000000" w:themeColor="text1"/>
          <w:kern w:val="21"/>
          <w:sz w:val="30"/>
          <w:szCs w:val="30"/>
          <w:highlight w:val="none"/>
          <w:lang w:val="en-US" w:eastAsia="zh-CN"/>
        </w:rPr>
        <w:t>100.00</w:t>
      </w:r>
      <w:r>
        <w:rPr>
          <w:rFonts w:hint="eastAsia" w:ascii="宋体" w:hAnsi="宋体" w:eastAsia="宋体" w:cs="宋体"/>
          <w:bCs/>
          <w:color w:val="000000" w:themeColor="text1"/>
          <w:kern w:val="21"/>
          <w:sz w:val="30"/>
          <w:szCs w:val="30"/>
          <w:highlight w:val="none"/>
        </w:rPr>
        <w:t>%</w:t>
      </w:r>
      <w:r>
        <w:rPr>
          <w:rFonts w:hint="eastAsia" w:ascii="宋体" w:hAnsi="宋体" w:eastAsia="宋体" w:cs="宋体"/>
          <w:bCs/>
          <w:color w:val="000000" w:themeColor="text1"/>
          <w:kern w:val="21"/>
          <w:sz w:val="30"/>
          <w:szCs w:val="30"/>
          <w:highlight w:val="none"/>
          <w:lang w:val="en-US" w:eastAsia="zh-CN"/>
        </w:rPr>
        <w:t>,控制较好</w:t>
      </w:r>
      <w:r>
        <w:rPr>
          <w:rFonts w:hint="eastAsia" w:ascii="宋体" w:hAnsi="宋体" w:eastAsia="宋体" w:cs="宋体"/>
          <w:bCs/>
          <w:color w:val="000000" w:themeColor="text1"/>
          <w:kern w:val="21"/>
          <w:sz w:val="30"/>
          <w:szCs w:val="30"/>
          <w:highlight w:val="none"/>
        </w:rPr>
        <w:t>。</w:t>
      </w:r>
    </w:p>
    <w:p w14:paraId="18C2733F">
      <w:pPr>
        <w:spacing w:line="360" w:lineRule="auto"/>
        <w:ind w:firstLine="602" w:firstLineChars="200"/>
        <w:rPr>
          <w:rFonts w:hint="eastAsia" w:ascii="宋体" w:hAnsi="宋体" w:eastAsia="宋体" w:cs="宋体"/>
          <w:b/>
          <w:color w:val="auto"/>
          <w:kern w:val="21"/>
          <w:sz w:val="30"/>
          <w:szCs w:val="30"/>
          <w:highlight w:val="none"/>
        </w:rPr>
      </w:pPr>
      <w:r>
        <w:rPr>
          <w:rFonts w:hint="eastAsia" w:ascii="宋体" w:hAnsi="宋体" w:eastAsia="宋体" w:cs="宋体"/>
          <w:b/>
          <w:color w:val="auto"/>
          <w:kern w:val="21"/>
          <w:sz w:val="30"/>
          <w:szCs w:val="30"/>
          <w:highlight w:val="none"/>
        </w:rPr>
        <w:t>3、预算</w:t>
      </w:r>
      <w:r>
        <w:rPr>
          <w:rFonts w:hint="eastAsia" w:ascii="宋体" w:hAnsi="宋体" w:eastAsia="宋体" w:cs="宋体"/>
          <w:b/>
          <w:color w:val="auto"/>
          <w:kern w:val="21"/>
          <w:sz w:val="30"/>
          <w:szCs w:val="30"/>
          <w:highlight w:val="none"/>
          <w:lang w:eastAsia="zh-CN"/>
        </w:rPr>
        <w:t>成本</w:t>
      </w:r>
      <w:r>
        <w:rPr>
          <w:rFonts w:hint="eastAsia" w:ascii="宋体" w:hAnsi="宋体" w:eastAsia="宋体" w:cs="宋体"/>
          <w:b/>
          <w:color w:val="auto"/>
          <w:kern w:val="21"/>
          <w:sz w:val="30"/>
          <w:szCs w:val="30"/>
          <w:highlight w:val="none"/>
        </w:rPr>
        <w:t>管理</w:t>
      </w:r>
    </w:p>
    <w:p w14:paraId="695CA3C8">
      <w:pPr>
        <w:spacing w:line="360" w:lineRule="auto"/>
        <w:ind w:firstLine="600" w:firstLineChars="200"/>
        <w:rPr>
          <w:rFonts w:hint="eastAsia" w:ascii="宋体" w:hAnsi="宋体" w:eastAsia="宋体" w:cs="宋体"/>
          <w:bCs/>
          <w:color w:val="000000" w:themeColor="text1"/>
          <w:kern w:val="21"/>
          <w:sz w:val="30"/>
          <w:szCs w:val="30"/>
          <w:highlight w:val="none"/>
        </w:rPr>
      </w:pPr>
      <w:r>
        <w:rPr>
          <w:rFonts w:hint="eastAsia" w:ascii="宋体" w:hAnsi="宋体" w:eastAsia="宋体" w:cs="宋体"/>
          <w:bCs/>
          <w:color w:val="000000" w:themeColor="text1"/>
          <w:kern w:val="21"/>
          <w:sz w:val="30"/>
          <w:szCs w:val="30"/>
          <w:highlight w:val="none"/>
        </w:rPr>
        <w:t>我局严格按照国家相关政策条例严格控制支出标准，节减各类不必要支出，严把项目支出关。加强了专项资金监管和部门绩效管理，专项资金和部门整体支出预算绩效目标申报完整规范，资金管理办法规范，及时下拨资金，无违规分配使用财政资金现象，投资评审、政府采购、重点工作、固定资产管理、工程监督验收审核等工作按制度执行，审计和纪检监察部门未发现违法、违规（纪）问题，一般性问题在规定时间内整改到位。</w:t>
      </w:r>
    </w:p>
    <w:p w14:paraId="5B2CF9B6">
      <w:pPr>
        <w:spacing w:line="360" w:lineRule="auto"/>
        <w:ind w:firstLine="600" w:firstLineChars="200"/>
        <w:rPr>
          <w:rFonts w:hint="eastAsia" w:ascii="宋体" w:hAnsi="宋体" w:eastAsia="宋体" w:cs="宋体"/>
          <w:bCs/>
          <w:color w:val="000000" w:themeColor="text1"/>
          <w:kern w:val="21"/>
          <w:sz w:val="30"/>
          <w:szCs w:val="30"/>
          <w:highlight w:val="none"/>
        </w:rPr>
      </w:pPr>
      <w:r>
        <w:rPr>
          <w:rFonts w:hint="eastAsia" w:ascii="宋体" w:hAnsi="宋体" w:eastAsia="宋体" w:cs="宋体"/>
          <w:bCs/>
          <w:color w:val="000000" w:themeColor="text1"/>
          <w:kern w:val="21"/>
          <w:sz w:val="30"/>
          <w:szCs w:val="30"/>
          <w:highlight w:val="none"/>
        </w:rPr>
        <w:t>我局厉行节约、严控“三公”经费和公用经费。严格执行厉行节约和反对浪费的有关文件精神，降低行政成本，建立了勤俭节约长效机制，</w:t>
      </w:r>
      <w:r>
        <w:rPr>
          <w:rFonts w:hint="eastAsia" w:ascii="宋体" w:hAnsi="宋体" w:eastAsia="宋体" w:cs="宋体"/>
          <w:color w:val="000000" w:themeColor="text1"/>
          <w:kern w:val="0"/>
          <w:sz w:val="30"/>
          <w:szCs w:val="30"/>
          <w:highlight w:val="none"/>
          <w:lang w:eastAsia="zh-CN"/>
        </w:rPr>
        <w:t>2023年</w:t>
      </w:r>
      <w:r>
        <w:rPr>
          <w:rFonts w:hint="eastAsia" w:ascii="宋体" w:hAnsi="宋体" w:eastAsia="宋体" w:cs="宋体"/>
          <w:color w:val="000000" w:themeColor="text1"/>
          <w:kern w:val="0"/>
          <w:sz w:val="30"/>
          <w:szCs w:val="30"/>
          <w:highlight w:val="none"/>
        </w:rPr>
        <w:t>度“三公经费”预算数</w:t>
      </w:r>
      <w:r>
        <w:rPr>
          <w:rFonts w:hint="eastAsia" w:ascii="宋体" w:hAnsi="宋体" w:eastAsia="宋体" w:cs="宋体"/>
          <w:color w:val="000000" w:themeColor="text1"/>
          <w:kern w:val="0"/>
          <w:sz w:val="30"/>
          <w:szCs w:val="30"/>
          <w:highlight w:val="none"/>
          <w:lang w:val="en-US" w:eastAsia="zh-CN"/>
        </w:rPr>
        <w:t>23</w:t>
      </w:r>
      <w:r>
        <w:rPr>
          <w:rFonts w:hint="eastAsia" w:ascii="宋体" w:hAnsi="宋体" w:eastAsia="宋体" w:cs="宋体"/>
          <w:color w:val="000000" w:themeColor="text1"/>
          <w:kern w:val="0"/>
          <w:sz w:val="30"/>
          <w:szCs w:val="30"/>
          <w:highlight w:val="none"/>
        </w:rPr>
        <w:t>.00万元，决算数</w:t>
      </w:r>
      <w:r>
        <w:rPr>
          <w:rFonts w:hint="eastAsia" w:ascii="宋体" w:hAnsi="宋体" w:eastAsia="宋体" w:cs="宋体"/>
          <w:color w:val="000000" w:themeColor="text1"/>
          <w:kern w:val="0"/>
          <w:sz w:val="30"/>
          <w:szCs w:val="30"/>
          <w:highlight w:val="none"/>
          <w:lang w:val="en-US" w:eastAsia="zh-CN"/>
        </w:rPr>
        <w:t>5.5</w:t>
      </w:r>
      <w:r>
        <w:rPr>
          <w:rFonts w:hint="eastAsia" w:ascii="宋体" w:hAnsi="宋体" w:eastAsia="宋体" w:cs="宋体"/>
          <w:color w:val="000000" w:themeColor="text1"/>
          <w:kern w:val="0"/>
          <w:sz w:val="30"/>
          <w:szCs w:val="30"/>
          <w:highlight w:val="none"/>
        </w:rPr>
        <w:t>万元，控制率</w:t>
      </w:r>
      <w:r>
        <w:rPr>
          <w:rFonts w:hint="eastAsia" w:ascii="宋体" w:hAnsi="宋体" w:eastAsia="宋体" w:cs="宋体"/>
          <w:color w:val="000000" w:themeColor="text1"/>
          <w:kern w:val="0"/>
          <w:sz w:val="30"/>
          <w:szCs w:val="30"/>
          <w:highlight w:val="none"/>
          <w:lang w:val="en-US" w:eastAsia="zh-CN"/>
        </w:rPr>
        <w:t>23.91</w:t>
      </w:r>
      <w:r>
        <w:rPr>
          <w:rFonts w:hint="eastAsia" w:ascii="宋体" w:hAnsi="宋体" w:eastAsia="宋体" w:cs="宋体"/>
          <w:color w:val="000000" w:themeColor="text1"/>
          <w:kern w:val="0"/>
          <w:sz w:val="30"/>
          <w:szCs w:val="30"/>
          <w:highlight w:val="none"/>
        </w:rPr>
        <w:t>%。</w:t>
      </w:r>
      <w:r>
        <w:rPr>
          <w:rFonts w:hint="eastAsia" w:ascii="宋体" w:hAnsi="宋体" w:eastAsia="宋体" w:cs="宋体"/>
          <w:bCs/>
          <w:color w:val="000000" w:themeColor="text1"/>
          <w:kern w:val="21"/>
          <w:sz w:val="30"/>
          <w:szCs w:val="30"/>
          <w:highlight w:val="none"/>
        </w:rPr>
        <w:t>主要措施：一是主动接受社会的监督，按照上级要求，在规定时间将</w:t>
      </w:r>
      <w:r>
        <w:rPr>
          <w:rFonts w:hint="eastAsia" w:ascii="宋体" w:hAnsi="宋体" w:eastAsia="宋体" w:cs="宋体"/>
          <w:bCs/>
          <w:color w:val="000000" w:themeColor="text1"/>
          <w:kern w:val="21"/>
          <w:sz w:val="30"/>
          <w:szCs w:val="30"/>
          <w:highlight w:val="none"/>
          <w:lang w:eastAsia="zh-CN"/>
        </w:rPr>
        <w:t>2023年</w:t>
      </w:r>
      <w:r>
        <w:rPr>
          <w:rFonts w:hint="eastAsia" w:ascii="宋体" w:hAnsi="宋体" w:eastAsia="宋体" w:cs="宋体"/>
          <w:bCs/>
          <w:color w:val="000000" w:themeColor="text1"/>
          <w:kern w:val="21"/>
          <w:sz w:val="30"/>
          <w:szCs w:val="30"/>
          <w:highlight w:val="none"/>
        </w:rPr>
        <w:t>度部门预算和“三公”经费预算及202</w:t>
      </w:r>
      <w:r>
        <w:rPr>
          <w:rFonts w:hint="eastAsia" w:ascii="宋体" w:hAnsi="宋体" w:eastAsia="宋体" w:cs="宋体"/>
          <w:bCs/>
          <w:color w:val="000000" w:themeColor="text1"/>
          <w:kern w:val="21"/>
          <w:sz w:val="30"/>
          <w:szCs w:val="30"/>
          <w:highlight w:val="none"/>
          <w:lang w:val="en-US" w:eastAsia="zh-CN"/>
        </w:rPr>
        <w:t>2</w:t>
      </w:r>
      <w:r>
        <w:rPr>
          <w:rFonts w:hint="eastAsia" w:ascii="宋体" w:hAnsi="宋体" w:eastAsia="宋体" w:cs="宋体"/>
          <w:bCs/>
          <w:color w:val="000000" w:themeColor="text1"/>
          <w:kern w:val="21"/>
          <w:sz w:val="30"/>
          <w:szCs w:val="30"/>
          <w:highlight w:val="none"/>
        </w:rPr>
        <w:t>年度部门决算和“三公”经费决算在桃江县公众信息网上进行了公示；二是严控公务用车费用审批，有效降低了公务用车运行维护费用；三是加强内部管理，建立公务接待审批制度，做到无派出单位公函一律不接待，同城不接待，严格控制公务接待标准，无超规格、超标准、超范围接待。</w:t>
      </w:r>
    </w:p>
    <w:p w14:paraId="2C94DD2F">
      <w:pPr>
        <w:spacing w:line="360" w:lineRule="auto"/>
        <w:ind w:firstLine="602" w:firstLineChars="200"/>
        <w:rPr>
          <w:rFonts w:hint="eastAsia" w:ascii="宋体" w:hAnsi="宋体" w:eastAsia="宋体" w:cs="宋体"/>
          <w:b/>
          <w:color w:val="auto"/>
          <w:kern w:val="21"/>
          <w:sz w:val="30"/>
          <w:szCs w:val="30"/>
          <w:highlight w:val="none"/>
          <w:lang w:val="en-US" w:eastAsia="zh-CN"/>
        </w:rPr>
      </w:pPr>
      <w:r>
        <w:rPr>
          <w:rFonts w:hint="eastAsia" w:ascii="宋体" w:hAnsi="宋体" w:eastAsia="宋体" w:cs="宋体"/>
          <w:b/>
          <w:color w:val="auto"/>
          <w:kern w:val="21"/>
          <w:sz w:val="30"/>
          <w:szCs w:val="30"/>
          <w:highlight w:val="none"/>
        </w:rPr>
        <w:t>(二) 经济效益、社会效益和行政效益</w:t>
      </w:r>
      <w:r>
        <w:rPr>
          <w:rFonts w:hint="eastAsia" w:ascii="宋体" w:hAnsi="宋体" w:eastAsia="宋体" w:cs="宋体"/>
          <w:b/>
          <w:color w:val="auto"/>
          <w:kern w:val="21"/>
          <w:sz w:val="30"/>
          <w:szCs w:val="30"/>
          <w:highlight w:val="none"/>
          <w:lang w:val="en-US" w:eastAsia="zh-CN"/>
        </w:rPr>
        <w:t>(效率性、有效性、可持续性分析)</w:t>
      </w:r>
    </w:p>
    <w:p w14:paraId="682B640C">
      <w:pPr>
        <w:spacing w:line="360" w:lineRule="auto"/>
        <w:ind w:firstLine="602" w:firstLineChars="200"/>
        <w:rPr>
          <w:rFonts w:hint="eastAsia" w:ascii="宋体" w:hAnsi="宋体" w:eastAsia="宋体" w:cs="宋体"/>
          <w:b/>
          <w:sz w:val="30"/>
          <w:szCs w:val="30"/>
        </w:rPr>
      </w:pPr>
      <w:r>
        <w:rPr>
          <w:rFonts w:hint="eastAsia" w:ascii="宋体" w:hAnsi="宋体" w:eastAsia="宋体" w:cs="宋体"/>
          <w:b/>
          <w:sz w:val="30"/>
          <w:szCs w:val="30"/>
          <w:lang w:val="en-US" w:eastAsia="zh-CN"/>
        </w:rPr>
        <w:t>1、</w:t>
      </w:r>
      <w:r>
        <w:rPr>
          <w:rFonts w:hint="eastAsia" w:ascii="宋体" w:hAnsi="宋体" w:eastAsia="宋体" w:cs="宋体"/>
          <w:b/>
          <w:sz w:val="30"/>
          <w:szCs w:val="30"/>
        </w:rPr>
        <w:t>城镇化水平不断提高</w:t>
      </w:r>
    </w:p>
    <w:p w14:paraId="7C29E861">
      <w:pPr>
        <w:spacing w:line="360" w:lineRule="auto"/>
        <w:ind w:firstLine="600" w:firstLineChars="200"/>
        <w:rPr>
          <w:rFonts w:hint="eastAsia" w:ascii="宋体" w:hAnsi="宋体" w:eastAsia="宋体" w:cs="宋体"/>
          <w:sz w:val="30"/>
          <w:szCs w:val="30"/>
        </w:rPr>
      </w:pPr>
      <w:r>
        <w:rPr>
          <w:rFonts w:hint="eastAsia" w:ascii="宋体" w:hAnsi="宋体" w:eastAsia="宋体" w:cs="宋体"/>
          <w:sz w:val="30"/>
          <w:szCs w:val="30"/>
        </w:rPr>
        <w:t>全县2023年城镇化率达54.03%，县城建成区面积达 18.1 平方公里。城镇污水处理率、垃圾无害化处理率、建成区绿化覆盖率分别为97.7%、100%、42.23%。</w:t>
      </w:r>
    </w:p>
    <w:p w14:paraId="5642D9FC">
      <w:pPr>
        <w:spacing w:line="360" w:lineRule="auto"/>
        <w:ind w:firstLine="602" w:firstLineChars="200"/>
        <w:rPr>
          <w:rFonts w:hint="eastAsia" w:ascii="宋体" w:hAnsi="宋体" w:eastAsia="宋体" w:cs="宋体"/>
          <w:b/>
          <w:sz w:val="30"/>
          <w:szCs w:val="30"/>
        </w:rPr>
      </w:pPr>
      <w:r>
        <w:rPr>
          <w:rFonts w:hint="eastAsia" w:ascii="宋体" w:hAnsi="宋体" w:eastAsia="宋体" w:cs="宋体"/>
          <w:b/>
          <w:sz w:val="30"/>
          <w:szCs w:val="30"/>
          <w:lang w:val="en-US" w:eastAsia="zh-CN"/>
        </w:rPr>
        <w:t>2、</w:t>
      </w:r>
      <w:r>
        <w:rPr>
          <w:rFonts w:hint="eastAsia" w:ascii="宋体" w:hAnsi="宋体" w:eastAsia="宋体" w:cs="宋体"/>
          <w:b/>
          <w:sz w:val="30"/>
          <w:szCs w:val="30"/>
        </w:rPr>
        <w:t>城镇建设效果显著</w:t>
      </w:r>
    </w:p>
    <w:p w14:paraId="50F65513">
      <w:pPr>
        <w:spacing w:line="360" w:lineRule="auto"/>
        <w:ind w:firstLine="301" w:firstLineChars="100"/>
        <w:rPr>
          <w:rFonts w:hint="eastAsia" w:ascii="宋体" w:hAnsi="宋体" w:eastAsia="宋体" w:cs="宋体"/>
          <w:bCs/>
          <w:kern w:val="0"/>
          <w:sz w:val="30"/>
          <w:szCs w:val="30"/>
        </w:rPr>
      </w:pPr>
      <w:r>
        <w:rPr>
          <w:rFonts w:hint="eastAsia" w:ascii="宋体" w:hAnsi="宋体" w:eastAsia="宋体" w:cs="宋体"/>
          <w:b/>
          <w:color w:val="000000"/>
          <w:sz w:val="30"/>
          <w:szCs w:val="30"/>
          <w:shd w:val="clear" w:color="auto" w:fill="FFFFFF"/>
          <w:lang w:eastAsia="zh-CN"/>
        </w:rPr>
        <w:t>（</w:t>
      </w:r>
      <w:r>
        <w:rPr>
          <w:rFonts w:hint="eastAsia" w:ascii="宋体" w:hAnsi="宋体" w:eastAsia="宋体" w:cs="宋体"/>
          <w:b/>
          <w:color w:val="000000"/>
          <w:sz w:val="30"/>
          <w:szCs w:val="30"/>
          <w:shd w:val="clear" w:color="auto" w:fill="FFFFFF"/>
          <w:lang w:val="en-US" w:eastAsia="zh-CN"/>
        </w:rPr>
        <w:t>1</w:t>
      </w:r>
      <w:r>
        <w:rPr>
          <w:rFonts w:hint="eastAsia" w:ascii="宋体" w:hAnsi="宋体" w:eastAsia="宋体" w:cs="宋体"/>
          <w:b/>
          <w:color w:val="000000"/>
          <w:sz w:val="30"/>
          <w:szCs w:val="30"/>
          <w:shd w:val="clear" w:color="auto" w:fill="FFFFFF"/>
          <w:lang w:eastAsia="zh-CN"/>
        </w:rPr>
        <w:t>）</w:t>
      </w:r>
      <w:r>
        <w:rPr>
          <w:rFonts w:hint="eastAsia" w:ascii="宋体" w:hAnsi="宋体" w:eastAsia="宋体" w:cs="宋体"/>
          <w:b/>
          <w:color w:val="000000" w:themeColor="text1"/>
          <w:sz w:val="30"/>
          <w:szCs w:val="30"/>
        </w:rPr>
        <w:t>老旧小区改造。</w:t>
      </w:r>
      <w:r>
        <w:rPr>
          <w:rFonts w:hint="eastAsia" w:ascii="宋体" w:hAnsi="宋体" w:eastAsia="宋体" w:cs="宋体"/>
          <w:sz w:val="30"/>
          <w:szCs w:val="30"/>
        </w:rPr>
        <w:t>2023年度计划改造11个老旧小区，分别为桃江县烟草公司家属楼小区、远大芙蓉小区、芙蓉市场小区、自来水公司家属楼小区、和睦小区（竹业城）、桃冶小区、育英巷企业公司小区、育英巷121号小区、幸福小区、农械厂老家属楼小区、五金公司家属楼小区，其中重点民生实事项目小区5个，11个片区总建筑面积18.63万平方米，涉及100栋2026户。6月底全面开工，</w:t>
      </w:r>
      <w:r>
        <w:rPr>
          <w:rFonts w:hint="eastAsia" w:ascii="宋体" w:hAnsi="宋体" w:eastAsia="宋体" w:cs="宋体"/>
          <w:bCs/>
          <w:kern w:val="0"/>
          <w:sz w:val="30"/>
          <w:szCs w:val="30"/>
        </w:rPr>
        <w:t>目前已完成了11个老旧小区改造工程量70%以上，投资拨付率50%以上，预计年内可全部完成改造工程，提前完成老旧小区改造年度工作任务。</w:t>
      </w:r>
    </w:p>
    <w:p w14:paraId="0EE68FCE">
      <w:pPr>
        <w:spacing w:line="360" w:lineRule="auto"/>
        <w:ind w:firstLine="301" w:firstLineChars="100"/>
        <w:rPr>
          <w:rFonts w:hint="eastAsia" w:ascii="宋体" w:hAnsi="宋体" w:eastAsia="宋体" w:cs="宋体"/>
          <w:color w:val="000000" w:themeColor="text1"/>
          <w:sz w:val="30"/>
          <w:szCs w:val="30"/>
          <w:lang w:eastAsia="zh-CN"/>
        </w:rPr>
      </w:pPr>
      <w:r>
        <w:rPr>
          <w:rFonts w:hint="eastAsia" w:ascii="宋体" w:hAnsi="宋体" w:eastAsia="宋体" w:cs="宋体"/>
          <w:b/>
          <w:color w:val="000000"/>
          <w:sz w:val="30"/>
          <w:szCs w:val="30"/>
          <w:shd w:val="clear" w:color="auto" w:fill="FFFFFF"/>
          <w:lang w:eastAsia="zh-CN"/>
        </w:rPr>
        <w:t>（</w:t>
      </w:r>
      <w:r>
        <w:rPr>
          <w:rFonts w:hint="eastAsia" w:ascii="宋体" w:hAnsi="宋体" w:eastAsia="宋体" w:cs="宋体"/>
          <w:b/>
          <w:color w:val="000000"/>
          <w:sz w:val="30"/>
          <w:szCs w:val="30"/>
          <w:shd w:val="clear" w:color="auto" w:fill="FFFFFF"/>
          <w:lang w:val="en-US" w:eastAsia="zh-CN"/>
        </w:rPr>
        <w:t>2</w:t>
      </w:r>
      <w:r>
        <w:rPr>
          <w:rFonts w:hint="eastAsia" w:ascii="宋体" w:hAnsi="宋体" w:eastAsia="宋体" w:cs="宋体"/>
          <w:b/>
          <w:color w:val="000000"/>
          <w:sz w:val="30"/>
          <w:szCs w:val="30"/>
          <w:shd w:val="clear" w:color="auto" w:fill="FFFFFF"/>
          <w:lang w:eastAsia="zh-CN"/>
        </w:rPr>
        <w:t>）</w:t>
      </w:r>
      <w:r>
        <w:rPr>
          <w:rFonts w:hint="eastAsia" w:ascii="宋体" w:hAnsi="宋体" w:eastAsia="宋体" w:cs="宋体"/>
          <w:b/>
          <w:color w:val="000000"/>
          <w:sz w:val="30"/>
          <w:szCs w:val="30"/>
          <w:shd w:val="clear" w:color="auto" w:fill="FFFFFF"/>
        </w:rPr>
        <w:t>城区雨污分流项目。</w:t>
      </w:r>
      <w:r>
        <w:rPr>
          <w:rFonts w:hint="eastAsia" w:ascii="宋体" w:hAnsi="宋体" w:eastAsia="宋体" w:cs="宋体"/>
          <w:bCs/>
          <w:sz w:val="30"/>
          <w:szCs w:val="30"/>
        </w:rPr>
        <w:t>投入2000万元</w:t>
      </w:r>
      <w:r>
        <w:rPr>
          <w:rFonts w:hint="eastAsia" w:ascii="宋体" w:hAnsi="宋体" w:eastAsia="宋体" w:cs="宋体"/>
          <w:sz w:val="30"/>
          <w:szCs w:val="30"/>
        </w:rPr>
        <w:t>对县城5个路段的排水管道进行雨污分流改造，提高污水处理厂进水浓度，开展排水管道提质改造。上海玺苑排水工程、青春里小区外侧配套基础设施建设项目、铂樾府北侧排水工程、胜利西路排水工程、润格大</w:t>
      </w:r>
      <w:r>
        <w:rPr>
          <w:rFonts w:hint="eastAsia" w:ascii="宋体" w:hAnsi="宋体" w:eastAsia="宋体" w:cs="宋体"/>
          <w:sz w:val="30"/>
          <w:szCs w:val="30"/>
          <w:lang w:val="en-US" w:eastAsia="zh-CN"/>
        </w:rPr>
        <w:t>厦</w:t>
      </w:r>
      <w:r>
        <w:rPr>
          <w:rFonts w:hint="eastAsia" w:ascii="宋体" w:hAnsi="宋体" w:eastAsia="宋体" w:cs="宋体"/>
          <w:sz w:val="30"/>
          <w:szCs w:val="30"/>
        </w:rPr>
        <w:t>雨污分流工程、建设路、佑文巷、征智巷雨污分流及排水工程等年底前全面完</w:t>
      </w:r>
      <w:r>
        <w:rPr>
          <w:rFonts w:hint="eastAsia" w:ascii="宋体" w:hAnsi="宋体" w:eastAsia="宋体" w:cs="宋体"/>
          <w:color w:val="000000" w:themeColor="text1"/>
          <w:sz w:val="30"/>
          <w:szCs w:val="30"/>
        </w:rPr>
        <w:t>成。</w:t>
      </w:r>
      <w:r>
        <w:rPr>
          <w:rFonts w:hint="eastAsia" w:ascii="宋体" w:hAnsi="宋体" w:eastAsia="宋体" w:cs="宋体"/>
          <w:color w:val="000000" w:themeColor="text1"/>
          <w:sz w:val="30"/>
          <w:szCs w:val="30"/>
          <w:lang w:eastAsia="zh-CN"/>
        </w:rPr>
        <w:t>建设路等4条街道雨污分流改造项目已完成规划方案、可研及部分施工图设计、立项、预算、财评、建设、竣工验收等工作。</w:t>
      </w:r>
    </w:p>
    <w:p w14:paraId="4E0F4496">
      <w:pPr>
        <w:spacing w:line="360" w:lineRule="auto"/>
        <w:ind w:firstLine="301" w:firstLineChars="100"/>
        <w:rPr>
          <w:rFonts w:hint="eastAsia" w:ascii="宋体" w:hAnsi="宋体" w:eastAsia="宋体" w:cs="宋体"/>
          <w:sz w:val="30"/>
          <w:szCs w:val="30"/>
        </w:rPr>
      </w:pPr>
      <w:r>
        <w:rPr>
          <w:rFonts w:hint="eastAsia" w:ascii="宋体" w:hAnsi="宋体" w:eastAsia="宋体" w:cs="宋体"/>
          <w:b/>
          <w:color w:val="000000"/>
          <w:sz w:val="30"/>
          <w:szCs w:val="30"/>
          <w:shd w:val="clear" w:color="auto" w:fill="FFFFFF"/>
          <w:lang w:eastAsia="zh-CN"/>
        </w:rPr>
        <w:t>（</w:t>
      </w:r>
      <w:r>
        <w:rPr>
          <w:rFonts w:hint="eastAsia" w:ascii="宋体" w:hAnsi="宋体" w:eastAsia="宋体" w:cs="宋体"/>
          <w:b/>
          <w:color w:val="000000"/>
          <w:sz w:val="30"/>
          <w:szCs w:val="30"/>
          <w:shd w:val="clear" w:color="auto" w:fill="FFFFFF"/>
          <w:lang w:val="en-US" w:eastAsia="zh-CN"/>
        </w:rPr>
        <w:t>3</w:t>
      </w:r>
      <w:r>
        <w:rPr>
          <w:rFonts w:hint="eastAsia" w:ascii="宋体" w:hAnsi="宋体" w:eastAsia="宋体" w:cs="宋体"/>
          <w:b/>
          <w:color w:val="000000"/>
          <w:sz w:val="30"/>
          <w:szCs w:val="30"/>
          <w:shd w:val="clear" w:color="auto" w:fill="FFFFFF"/>
          <w:lang w:eastAsia="zh-CN"/>
        </w:rPr>
        <w:t>）</w:t>
      </w:r>
      <w:r>
        <w:rPr>
          <w:rFonts w:hint="eastAsia" w:ascii="宋体" w:hAnsi="宋体" w:eastAsia="宋体" w:cs="宋体"/>
          <w:b/>
          <w:color w:val="000000"/>
          <w:sz w:val="30"/>
          <w:szCs w:val="30"/>
          <w:shd w:val="clear" w:color="auto" w:fill="FFFFFF"/>
        </w:rPr>
        <w:t>城镇污水处理。</w:t>
      </w:r>
      <w:r>
        <w:rPr>
          <w:rFonts w:hint="eastAsia" w:ascii="宋体" w:hAnsi="宋体" w:eastAsia="宋体" w:cs="宋体"/>
          <w:sz w:val="30"/>
          <w:szCs w:val="30"/>
        </w:rPr>
        <w:t>拟建县城第四污水处理厂，近期处理规模为1万吨/天，远期处理规模2万吨/天，配套管网长度40公里。加强乡镇污水支管网建设，提高污水处理厂进水浓度；指导各乡镇完善污水处理设施建设，到2025年乡镇建成区污水处理率达95%以上。</w:t>
      </w:r>
    </w:p>
    <w:p w14:paraId="409ACFC8">
      <w:pPr>
        <w:spacing w:line="360" w:lineRule="auto"/>
        <w:ind w:firstLine="602" w:firstLineChars="200"/>
        <w:rPr>
          <w:rFonts w:hint="eastAsia" w:ascii="宋体" w:hAnsi="宋体" w:eastAsia="宋体" w:cs="宋体"/>
          <w:b/>
          <w:sz w:val="30"/>
          <w:szCs w:val="30"/>
        </w:rPr>
      </w:pPr>
      <w:r>
        <w:rPr>
          <w:rFonts w:hint="eastAsia" w:ascii="宋体" w:hAnsi="宋体" w:eastAsia="宋体" w:cs="宋体"/>
          <w:b/>
          <w:sz w:val="30"/>
          <w:szCs w:val="30"/>
          <w:lang w:val="en-US" w:eastAsia="zh-CN"/>
        </w:rPr>
        <w:t>3、</w:t>
      </w:r>
      <w:r>
        <w:rPr>
          <w:rFonts w:hint="eastAsia" w:ascii="宋体" w:hAnsi="宋体" w:eastAsia="宋体" w:cs="宋体"/>
          <w:b/>
          <w:sz w:val="30"/>
          <w:szCs w:val="30"/>
        </w:rPr>
        <w:t>“保交楼” 政策落实落细</w:t>
      </w:r>
    </w:p>
    <w:p w14:paraId="141DCCF3">
      <w:pPr>
        <w:spacing w:line="360" w:lineRule="auto"/>
        <w:ind w:firstLine="300" w:firstLineChars="100"/>
        <w:rPr>
          <w:rFonts w:hint="eastAsia" w:ascii="宋体" w:hAnsi="宋体" w:eastAsia="宋体" w:cs="宋体"/>
          <w:sz w:val="30"/>
          <w:szCs w:val="30"/>
        </w:rPr>
      </w:pP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1</w:t>
      </w:r>
      <w:r>
        <w:rPr>
          <w:rFonts w:hint="eastAsia" w:ascii="宋体" w:hAnsi="宋体" w:eastAsia="宋体" w:cs="宋体"/>
          <w:sz w:val="30"/>
          <w:szCs w:val="30"/>
          <w:lang w:eastAsia="zh-CN"/>
        </w:rPr>
        <w:t>）</w:t>
      </w:r>
      <w:r>
        <w:rPr>
          <w:rFonts w:hint="eastAsia" w:ascii="宋体" w:hAnsi="宋体" w:eastAsia="宋体" w:cs="宋体"/>
          <w:sz w:val="30"/>
          <w:szCs w:val="30"/>
        </w:rPr>
        <w:t>成立防范化解房地产项目风险工作专班，拿出《桃江县住房和城乡建设局防范化解房地产开发项目风险工作方案》，认真落实国家“保交楼”政策。一是严控预售资金使用，对房地产开发项目全程监管，保建设；二是解决中梁拾光学府、碧桂园项目的阻工案件，重点处理上海佳苑、凤凰瑞府等问题楼盘，确保工程质量并督促项目如期建成交付使用，保交楼；三是针对风险楼盘业主投诉信访问题，组织专班人员积极主动加强与业主沟通，提前预防化解了大规模群体信访事件，保稳定。</w:t>
      </w:r>
    </w:p>
    <w:p w14:paraId="17D06CB9">
      <w:pPr>
        <w:spacing w:line="360" w:lineRule="auto"/>
        <w:ind w:firstLine="300" w:firstLineChars="100"/>
        <w:rPr>
          <w:rFonts w:hint="eastAsia" w:ascii="宋体" w:hAnsi="宋体" w:eastAsia="宋体" w:cs="宋体"/>
          <w:bCs/>
          <w:sz w:val="30"/>
          <w:szCs w:val="30"/>
        </w:rPr>
      </w:pP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2</w:t>
      </w:r>
      <w:r>
        <w:rPr>
          <w:rFonts w:hint="eastAsia" w:ascii="宋体" w:hAnsi="宋体" w:eastAsia="宋体" w:cs="宋体"/>
          <w:sz w:val="30"/>
          <w:szCs w:val="30"/>
          <w:lang w:eastAsia="zh-CN"/>
        </w:rPr>
        <w:t>）</w:t>
      </w:r>
      <w:r>
        <w:rPr>
          <w:rFonts w:hint="eastAsia" w:ascii="宋体" w:hAnsi="宋体" w:eastAsia="宋体" w:cs="宋体"/>
          <w:sz w:val="30"/>
          <w:szCs w:val="30"/>
        </w:rPr>
        <w:t>采取多项措施促进房产销售，加速去库存。出台了购房契税减免的阶段性政策，加大了住房公积金使用力度。组织楼盘连续参加两届房地产交易会和参加“中秋国庆消费购物节”。元旦、五一两次两届房地产交易会分别销售住宅339套与176套，交易金额分别为2.21亿元与1.13亿。中秋国庆消费购物节活动，销售商品房216套，成交额1.5亿元。</w:t>
      </w:r>
    </w:p>
    <w:p w14:paraId="7306A9ED">
      <w:pPr>
        <w:spacing w:line="360" w:lineRule="auto"/>
        <w:ind w:firstLine="602" w:firstLineChars="200"/>
        <w:rPr>
          <w:rFonts w:hint="eastAsia" w:ascii="宋体" w:hAnsi="宋体" w:eastAsia="宋体" w:cs="宋体"/>
          <w:b/>
          <w:sz w:val="30"/>
          <w:szCs w:val="30"/>
        </w:rPr>
      </w:pPr>
      <w:r>
        <w:rPr>
          <w:rFonts w:hint="eastAsia" w:ascii="宋体" w:hAnsi="宋体" w:eastAsia="宋体" w:cs="宋体"/>
          <w:b/>
          <w:sz w:val="30"/>
          <w:szCs w:val="30"/>
          <w:lang w:val="en-US" w:eastAsia="zh-CN"/>
        </w:rPr>
        <w:t>4、</w:t>
      </w:r>
      <w:r>
        <w:rPr>
          <w:rFonts w:hint="eastAsia" w:ascii="宋体" w:hAnsi="宋体" w:eastAsia="宋体" w:cs="宋体"/>
          <w:b/>
          <w:sz w:val="30"/>
          <w:szCs w:val="30"/>
        </w:rPr>
        <w:t>供水供气基础设施不断完善</w:t>
      </w:r>
    </w:p>
    <w:p w14:paraId="567AEABD">
      <w:pPr>
        <w:spacing w:line="360" w:lineRule="auto"/>
        <w:ind w:firstLine="301" w:firstLineChars="100"/>
        <w:rPr>
          <w:rFonts w:hint="eastAsia" w:ascii="宋体" w:hAnsi="宋体" w:eastAsia="宋体" w:cs="宋体"/>
          <w:sz w:val="30"/>
          <w:szCs w:val="30"/>
        </w:rPr>
      </w:pPr>
      <w:r>
        <w:rPr>
          <w:rFonts w:hint="eastAsia" w:ascii="宋体" w:hAnsi="宋体" w:eastAsia="宋体" w:cs="宋体"/>
          <w:b/>
          <w:bCs/>
          <w:sz w:val="30"/>
          <w:szCs w:val="30"/>
          <w:lang w:eastAsia="zh-CN"/>
        </w:rPr>
        <w:t>（</w:t>
      </w:r>
      <w:r>
        <w:rPr>
          <w:rFonts w:hint="eastAsia" w:ascii="宋体" w:hAnsi="宋体" w:eastAsia="宋体" w:cs="宋体"/>
          <w:b/>
          <w:bCs/>
          <w:sz w:val="30"/>
          <w:szCs w:val="30"/>
          <w:lang w:val="en-US" w:eastAsia="zh-CN"/>
        </w:rPr>
        <w:t>1</w:t>
      </w:r>
      <w:r>
        <w:rPr>
          <w:rFonts w:hint="eastAsia" w:ascii="宋体" w:hAnsi="宋体" w:eastAsia="宋体" w:cs="宋体"/>
          <w:b/>
          <w:bCs/>
          <w:sz w:val="30"/>
          <w:szCs w:val="30"/>
          <w:lang w:eastAsia="zh-CN"/>
        </w:rPr>
        <w:t>）</w:t>
      </w:r>
      <w:r>
        <w:rPr>
          <w:rFonts w:hint="eastAsia" w:ascii="宋体" w:hAnsi="宋体" w:eastAsia="宋体" w:cs="宋体"/>
          <w:b/>
          <w:bCs/>
          <w:sz w:val="30"/>
          <w:szCs w:val="30"/>
        </w:rPr>
        <w:t>供水方面：</w:t>
      </w:r>
      <w:r>
        <w:rPr>
          <w:rFonts w:hint="eastAsia" w:ascii="宋体" w:hAnsi="宋体" w:eastAsia="宋体" w:cs="宋体"/>
          <w:color w:val="000000" w:themeColor="text1"/>
          <w:sz w:val="30"/>
          <w:szCs w:val="30"/>
        </w:rPr>
        <w:t>已</w:t>
      </w:r>
      <w:r>
        <w:rPr>
          <w:rFonts w:hint="eastAsia" w:ascii="宋体" w:hAnsi="宋体" w:eastAsia="宋体" w:cs="宋体"/>
          <w:sz w:val="30"/>
          <w:szCs w:val="30"/>
        </w:rPr>
        <w:t>完成工矿棚改区、168复迁地、金华桥安置房片区、竹海风景区供水工程等地新建管网约16000米；已完成老旧小区供水管网改造约5500米。目前已按新的地方标准完成铂樾府、谷山壹品、工矿棚改区、竹海风景区二次加压泵站建设。</w:t>
      </w:r>
    </w:p>
    <w:p w14:paraId="610B9C2D">
      <w:pPr>
        <w:spacing w:line="360" w:lineRule="auto"/>
        <w:ind w:firstLine="301" w:firstLineChars="100"/>
        <w:rPr>
          <w:rFonts w:hint="eastAsia" w:ascii="宋体" w:hAnsi="宋体" w:eastAsia="宋体" w:cs="宋体"/>
          <w:sz w:val="30"/>
          <w:szCs w:val="30"/>
        </w:rPr>
      </w:pPr>
      <w:r>
        <w:rPr>
          <w:rFonts w:hint="eastAsia" w:ascii="宋体" w:hAnsi="宋体" w:eastAsia="宋体" w:cs="宋体"/>
          <w:b/>
          <w:bCs/>
          <w:sz w:val="30"/>
          <w:szCs w:val="30"/>
          <w:lang w:eastAsia="zh-CN"/>
        </w:rPr>
        <w:t>（</w:t>
      </w:r>
      <w:r>
        <w:rPr>
          <w:rFonts w:hint="eastAsia" w:ascii="宋体" w:hAnsi="宋体" w:eastAsia="宋体" w:cs="宋体"/>
          <w:b/>
          <w:bCs/>
          <w:sz w:val="30"/>
          <w:szCs w:val="30"/>
          <w:lang w:val="en-US" w:eastAsia="zh-CN"/>
        </w:rPr>
        <w:t>2</w:t>
      </w:r>
      <w:r>
        <w:rPr>
          <w:rFonts w:hint="eastAsia" w:ascii="宋体" w:hAnsi="宋体" w:eastAsia="宋体" w:cs="宋体"/>
          <w:b/>
          <w:bCs/>
          <w:sz w:val="30"/>
          <w:szCs w:val="30"/>
          <w:lang w:eastAsia="zh-CN"/>
        </w:rPr>
        <w:t>）</w:t>
      </w:r>
      <w:r>
        <w:rPr>
          <w:rFonts w:hint="eastAsia" w:ascii="宋体" w:hAnsi="宋体" w:eastAsia="宋体" w:cs="宋体"/>
          <w:b/>
          <w:bCs/>
          <w:sz w:val="30"/>
          <w:szCs w:val="30"/>
        </w:rPr>
        <w:t>燃气方面：</w:t>
      </w:r>
      <w:r>
        <w:rPr>
          <w:rFonts w:hint="eastAsia" w:ascii="宋体" w:hAnsi="宋体" w:eastAsia="宋体" w:cs="宋体"/>
          <w:sz w:val="30"/>
          <w:szCs w:val="30"/>
        </w:rPr>
        <w:t>旧城改造市政管网3.5公里；立管网5.5公里；庭院管网1.4公里。新建庭院管网12.9公里，新建立管网4.32公里；新建市政管道1.1公里。</w:t>
      </w:r>
    </w:p>
    <w:p w14:paraId="35A341B8">
      <w:pPr>
        <w:spacing w:line="360" w:lineRule="auto"/>
        <w:ind w:firstLine="602" w:firstLineChars="200"/>
        <w:rPr>
          <w:rFonts w:hint="eastAsia" w:ascii="宋体" w:hAnsi="宋体" w:eastAsia="宋体" w:cs="宋体"/>
          <w:b/>
          <w:sz w:val="30"/>
          <w:szCs w:val="30"/>
        </w:rPr>
      </w:pPr>
      <w:r>
        <w:rPr>
          <w:rFonts w:hint="eastAsia" w:ascii="宋体" w:hAnsi="宋体" w:eastAsia="宋体" w:cs="宋体"/>
          <w:b/>
          <w:sz w:val="30"/>
          <w:szCs w:val="30"/>
          <w:lang w:val="en-US" w:eastAsia="zh-CN"/>
        </w:rPr>
        <w:t>5、</w:t>
      </w:r>
      <w:r>
        <w:rPr>
          <w:rFonts w:hint="eastAsia" w:ascii="宋体" w:hAnsi="宋体" w:eastAsia="宋体" w:cs="宋体"/>
          <w:b/>
          <w:sz w:val="30"/>
          <w:szCs w:val="30"/>
        </w:rPr>
        <w:t>居民自建房安全专项整治力度不减</w:t>
      </w:r>
    </w:p>
    <w:p w14:paraId="4BDE5DC4">
      <w:pPr>
        <w:spacing w:line="360" w:lineRule="auto"/>
        <w:ind w:firstLine="600" w:firstLineChars="200"/>
        <w:jc w:val="left"/>
        <w:rPr>
          <w:rFonts w:hint="eastAsia" w:ascii="宋体" w:hAnsi="宋体" w:eastAsia="宋体" w:cs="宋体"/>
          <w:sz w:val="30"/>
          <w:szCs w:val="30"/>
        </w:rPr>
      </w:pPr>
      <w:r>
        <w:rPr>
          <w:rFonts w:hint="eastAsia" w:ascii="宋体" w:hAnsi="宋体" w:eastAsia="宋体" w:cs="宋体"/>
          <w:sz w:val="30"/>
          <w:szCs w:val="30"/>
        </w:rPr>
        <w:t>今年，整治库中74栋C、D级经营性居民自建房结构安全隐患整治销号工作全部完成。平台初始数据显示全县非经营性自建房评估鉴定为CD级已采取工程措施销号房屋11栋，已于八月底全部完成销号。对我县15435栋房屋进行重点区域排查，主要针对将经房屋鉴定或整治已经消除隐患的房屋隐患信息修改为不存在隐患，全县已录入6385份安全明白卡。</w:t>
      </w:r>
    </w:p>
    <w:p w14:paraId="27B3EEA2">
      <w:pPr>
        <w:spacing w:line="360" w:lineRule="auto"/>
        <w:ind w:firstLine="602" w:firstLineChars="200"/>
        <w:rPr>
          <w:rFonts w:hint="eastAsia" w:ascii="宋体" w:hAnsi="宋体" w:eastAsia="宋体" w:cs="宋体"/>
          <w:b/>
          <w:sz w:val="30"/>
          <w:szCs w:val="30"/>
        </w:rPr>
      </w:pPr>
      <w:r>
        <w:rPr>
          <w:rFonts w:hint="eastAsia" w:ascii="宋体" w:hAnsi="宋体" w:eastAsia="宋体" w:cs="宋体"/>
          <w:b/>
          <w:sz w:val="30"/>
          <w:szCs w:val="30"/>
          <w:lang w:val="en-US" w:eastAsia="zh-CN"/>
        </w:rPr>
        <w:t>6、</w:t>
      </w:r>
      <w:r>
        <w:rPr>
          <w:rFonts w:hint="eastAsia" w:ascii="宋体" w:hAnsi="宋体" w:eastAsia="宋体" w:cs="宋体"/>
          <w:b/>
          <w:sz w:val="30"/>
          <w:szCs w:val="30"/>
        </w:rPr>
        <w:t>农村危房改造稳步推动</w:t>
      </w:r>
    </w:p>
    <w:p w14:paraId="64A33A85">
      <w:pPr>
        <w:spacing w:line="360" w:lineRule="auto"/>
        <w:ind w:firstLine="600" w:firstLineChars="200"/>
        <w:rPr>
          <w:rFonts w:hint="eastAsia" w:ascii="宋体" w:hAnsi="宋体" w:eastAsia="宋体" w:cs="宋体"/>
          <w:sz w:val="30"/>
          <w:szCs w:val="30"/>
        </w:rPr>
      </w:pPr>
      <w:r>
        <w:rPr>
          <w:rFonts w:hint="eastAsia" w:ascii="宋体" w:hAnsi="宋体" w:eastAsia="宋体" w:cs="宋体"/>
          <w:sz w:val="30"/>
          <w:szCs w:val="30"/>
        </w:rPr>
        <w:t>省厅下达指标267户，实际2023年全县危改实施268户，目前开工率100%，年内全部竣工。</w:t>
      </w:r>
    </w:p>
    <w:p w14:paraId="30741AE0">
      <w:pPr>
        <w:spacing w:line="360" w:lineRule="auto"/>
        <w:ind w:firstLine="602" w:firstLineChars="200"/>
        <w:rPr>
          <w:rFonts w:hint="eastAsia" w:ascii="宋体" w:hAnsi="宋体" w:eastAsia="宋体" w:cs="宋体"/>
          <w:b/>
          <w:sz w:val="30"/>
          <w:szCs w:val="30"/>
        </w:rPr>
      </w:pPr>
      <w:r>
        <w:rPr>
          <w:rFonts w:hint="eastAsia" w:ascii="宋体" w:hAnsi="宋体" w:eastAsia="宋体" w:cs="宋体"/>
          <w:b/>
          <w:sz w:val="30"/>
          <w:szCs w:val="30"/>
          <w:lang w:val="en-US" w:eastAsia="zh-CN"/>
        </w:rPr>
        <w:t>7、</w:t>
      </w:r>
      <w:r>
        <w:rPr>
          <w:rFonts w:hint="eastAsia" w:ascii="宋体" w:hAnsi="宋体" w:eastAsia="宋体" w:cs="宋体"/>
          <w:b/>
          <w:sz w:val="30"/>
          <w:szCs w:val="30"/>
        </w:rPr>
        <w:t>装配式建筑有序推进</w:t>
      </w:r>
    </w:p>
    <w:p w14:paraId="5EC6579C">
      <w:pPr>
        <w:spacing w:line="360" w:lineRule="auto"/>
        <w:ind w:firstLine="600" w:firstLineChars="200"/>
        <w:rPr>
          <w:rFonts w:hint="eastAsia" w:ascii="宋体" w:hAnsi="宋体" w:eastAsia="宋体" w:cs="宋体"/>
          <w:sz w:val="30"/>
          <w:szCs w:val="30"/>
        </w:rPr>
      </w:pPr>
      <w:r>
        <w:rPr>
          <w:rFonts w:hint="eastAsia" w:ascii="宋体" w:hAnsi="宋体" w:eastAsia="宋体" w:cs="宋体"/>
          <w:sz w:val="30"/>
          <w:szCs w:val="30"/>
        </w:rPr>
        <w:t>全县房屋报建面积28.2万平方米，完成装配式建筑面积9.01 万平方米，目前全县城区新建项目装配率达32%以上。申报绿色建筑面积23.41万平方米，县内新建民用建筑节能强制性标准设计阶段与施工阶段执行率达100%，实现了绿色建筑占新建建筑比例83%以上的目标。</w:t>
      </w:r>
    </w:p>
    <w:p w14:paraId="2F450736">
      <w:pPr>
        <w:spacing w:line="360" w:lineRule="auto"/>
        <w:ind w:firstLine="602" w:firstLineChars="200"/>
        <w:rPr>
          <w:rFonts w:hint="eastAsia" w:ascii="宋体" w:hAnsi="宋体" w:eastAsia="宋体" w:cs="宋体"/>
          <w:b/>
          <w:sz w:val="30"/>
          <w:szCs w:val="30"/>
        </w:rPr>
      </w:pPr>
      <w:r>
        <w:rPr>
          <w:rFonts w:hint="eastAsia" w:ascii="宋体" w:hAnsi="宋体" w:eastAsia="宋体" w:cs="宋体"/>
          <w:b/>
          <w:sz w:val="30"/>
          <w:szCs w:val="30"/>
          <w:lang w:val="en-US" w:eastAsia="zh-CN"/>
        </w:rPr>
        <w:t>8、</w:t>
      </w:r>
      <w:r>
        <w:rPr>
          <w:rFonts w:hint="eastAsia" w:ascii="宋体" w:hAnsi="宋体" w:eastAsia="宋体" w:cs="宋体"/>
          <w:b/>
          <w:sz w:val="30"/>
          <w:szCs w:val="30"/>
        </w:rPr>
        <w:t>营商环境不断优化</w:t>
      </w:r>
    </w:p>
    <w:p w14:paraId="56C1B3A6">
      <w:pPr>
        <w:spacing w:line="360" w:lineRule="auto"/>
        <w:ind w:firstLine="600" w:firstLineChars="200"/>
        <w:rPr>
          <w:rFonts w:hint="eastAsia" w:ascii="宋体" w:hAnsi="宋体" w:eastAsia="宋体" w:cs="宋体"/>
          <w:sz w:val="30"/>
          <w:szCs w:val="30"/>
          <w:shd w:val="clear" w:color="auto" w:fill="FFFFFF"/>
        </w:rPr>
      </w:pPr>
      <w:r>
        <w:rPr>
          <w:rFonts w:hint="eastAsia" w:ascii="宋体" w:hAnsi="宋体" w:eastAsia="宋体" w:cs="宋体"/>
          <w:sz w:val="30"/>
          <w:szCs w:val="30"/>
        </w:rPr>
        <w:t>不断深化“放管服”改革，</w:t>
      </w:r>
      <w:r>
        <w:rPr>
          <w:rFonts w:hint="eastAsia" w:ascii="宋体" w:hAnsi="宋体" w:eastAsia="宋体" w:cs="宋体"/>
          <w:sz w:val="30"/>
          <w:szCs w:val="30"/>
          <w:shd w:val="clear" w:color="auto" w:fill="FFFFFF"/>
        </w:rPr>
        <w:t>按照“互联网+政务服务”工作要求，积极推进网上审批，落实并联审批、多图联审、联合竣工验收，助推项目建设快速落地。1-10月份业务办理情况：受理施工许可30起，商品房预售许可11起，消防验收备案15个，竣工验收备案13个，初步设计审查17个，房屋测绘67宗，收取城市基础设施配套费1348.99万元。</w:t>
      </w:r>
    </w:p>
    <w:p w14:paraId="0C46C929">
      <w:pPr>
        <w:spacing w:line="360" w:lineRule="auto"/>
        <w:ind w:firstLine="602" w:firstLineChars="200"/>
        <w:rPr>
          <w:rFonts w:hint="eastAsia" w:ascii="宋体" w:hAnsi="宋体" w:eastAsia="宋体" w:cs="宋体"/>
          <w:b/>
          <w:sz w:val="30"/>
          <w:szCs w:val="30"/>
        </w:rPr>
      </w:pPr>
      <w:r>
        <w:rPr>
          <w:rFonts w:hint="eastAsia" w:ascii="宋体" w:hAnsi="宋体" w:eastAsia="宋体" w:cs="宋体"/>
          <w:b/>
          <w:sz w:val="30"/>
          <w:szCs w:val="30"/>
          <w:lang w:val="en-US" w:eastAsia="zh-CN"/>
        </w:rPr>
        <w:t>9、</w:t>
      </w:r>
      <w:r>
        <w:rPr>
          <w:rFonts w:hint="eastAsia" w:ascii="宋体" w:hAnsi="宋体" w:eastAsia="宋体" w:cs="宋体"/>
          <w:b/>
          <w:sz w:val="30"/>
          <w:szCs w:val="30"/>
        </w:rPr>
        <w:t>安全生产紧抓不懈</w:t>
      </w:r>
    </w:p>
    <w:p w14:paraId="47AE3A29">
      <w:pPr>
        <w:spacing w:line="360" w:lineRule="auto"/>
        <w:ind w:firstLine="301" w:firstLineChars="100"/>
        <w:jc w:val="left"/>
        <w:rPr>
          <w:rFonts w:hint="eastAsia" w:ascii="宋体" w:hAnsi="宋体" w:eastAsia="宋体" w:cs="宋体"/>
          <w:sz w:val="30"/>
          <w:szCs w:val="30"/>
        </w:rPr>
      </w:pPr>
      <w:r>
        <w:rPr>
          <w:rFonts w:hint="eastAsia" w:ascii="宋体" w:hAnsi="宋体" w:eastAsia="宋体" w:cs="宋体"/>
          <w:b/>
          <w:bCs/>
          <w:sz w:val="30"/>
          <w:szCs w:val="30"/>
          <w:lang w:eastAsia="zh-CN"/>
        </w:rPr>
        <w:t>（</w:t>
      </w:r>
      <w:r>
        <w:rPr>
          <w:rFonts w:hint="eastAsia" w:ascii="宋体" w:hAnsi="宋体" w:eastAsia="宋体" w:cs="宋体"/>
          <w:b/>
          <w:bCs/>
          <w:sz w:val="30"/>
          <w:szCs w:val="30"/>
          <w:lang w:val="en-US" w:eastAsia="zh-CN"/>
        </w:rPr>
        <w:t>1</w:t>
      </w:r>
      <w:r>
        <w:rPr>
          <w:rFonts w:hint="eastAsia" w:ascii="宋体" w:hAnsi="宋体" w:eastAsia="宋体" w:cs="宋体"/>
          <w:b/>
          <w:bCs/>
          <w:sz w:val="30"/>
          <w:szCs w:val="30"/>
          <w:lang w:eastAsia="zh-CN"/>
        </w:rPr>
        <w:t>）</w:t>
      </w:r>
      <w:r>
        <w:rPr>
          <w:rFonts w:hint="eastAsia" w:ascii="宋体" w:hAnsi="宋体" w:eastAsia="宋体" w:cs="宋体"/>
          <w:b/>
          <w:bCs/>
          <w:sz w:val="30"/>
          <w:szCs w:val="30"/>
        </w:rPr>
        <w:t>建筑安全管理。</w:t>
      </w:r>
      <w:r>
        <w:rPr>
          <w:rFonts w:hint="eastAsia" w:ascii="宋体" w:hAnsi="宋体" w:eastAsia="宋体" w:cs="宋体"/>
          <w:sz w:val="30"/>
          <w:szCs w:val="30"/>
        </w:rPr>
        <w:t>制定下发了《桃江县住房城乡建设领域打好安全生产“翻身仗”实施方案》。共开展安全生产专项检查75次，移送案件线索15条，停工通知14份，共计处理质量投诉65起。</w:t>
      </w:r>
    </w:p>
    <w:p w14:paraId="05642561">
      <w:pPr>
        <w:spacing w:line="360" w:lineRule="auto"/>
        <w:ind w:firstLine="301" w:firstLineChars="100"/>
        <w:rPr>
          <w:rFonts w:hint="eastAsia" w:ascii="宋体" w:hAnsi="宋体" w:eastAsia="宋体" w:cs="宋体"/>
          <w:sz w:val="30"/>
          <w:szCs w:val="30"/>
        </w:rPr>
      </w:pPr>
      <w:r>
        <w:rPr>
          <w:rFonts w:hint="eastAsia" w:ascii="宋体" w:hAnsi="宋体" w:eastAsia="宋体" w:cs="宋体"/>
          <w:b/>
          <w:bCs/>
          <w:sz w:val="30"/>
          <w:szCs w:val="30"/>
          <w:lang w:eastAsia="zh-CN"/>
        </w:rPr>
        <w:t>（</w:t>
      </w:r>
      <w:r>
        <w:rPr>
          <w:rFonts w:hint="eastAsia" w:ascii="宋体" w:hAnsi="宋体" w:eastAsia="宋体" w:cs="宋体"/>
          <w:b/>
          <w:bCs/>
          <w:sz w:val="30"/>
          <w:szCs w:val="30"/>
          <w:lang w:val="en-US" w:eastAsia="zh-CN"/>
        </w:rPr>
        <w:t>2</w:t>
      </w:r>
      <w:r>
        <w:rPr>
          <w:rFonts w:hint="eastAsia" w:ascii="宋体" w:hAnsi="宋体" w:eastAsia="宋体" w:cs="宋体"/>
          <w:b/>
          <w:bCs/>
          <w:sz w:val="30"/>
          <w:szCs w:val="30"/>
          <w:lang w:eastAsia="zh-CN"/>
        </w:rPr>
        <w:t>）</w:t>
      </w:r>
      <w:r>
        <w:rPr>
          <w:rFonts w:hint="eastAsia" w:ascii="宋体" w:hAnsi="宋体" w:eastAsia="宋体" w:cs="宋体"/>
          <w:b/>
          <w:bCs/>
          <w:sz w:val="30"/>
          <w:szCs w:val="30"/>
        </w:rPr>
        <w:t>非法搅拌站整治。</w:t>
      </w:r>
      <w:r>
        <w:rPr>
          <w:rFonts w:hint="eastAsia" w:ascii="宋体" w:hAnsi="宋体" w:eastAsia="宋体" w:cs="宋体"/>
          <w:sz w:val="30"/>
          <w:szCs w:val="30"/>
        </w:rPr>
        <w:t>我县为加强预拌混凝土行业管理，开展了预拌混凝土搅拌站专项整治，分布于14个乡镇的63家非法搅拌站已经全部拆除。</w:t>
      </w:r>
    </w:p>
    <w:p w14:paraId="277A13E4">
      <w:pPr>
        <w:spacing w:line="360" w:lineRule="auto"/>
        <w:ind w:firstLine="301" w:firstLineChars="100"/>
        <w:rPr>
          <w:rFonts w:hint="eastAsia" w:ascii="宋体" w:hAnsi="宋体" w:eastAsia="宋体" w:cs="宋体"/>
          <w:sz w:val="30"/>
          <w:szCs w:val="30"/>
        </w:rPr>
      </w:pPr>
      <w:r>
        <w:rPr>
          <w:rFonts w:hint="eastAsia" w:ascii="宋体" w:hAnsi="宋体" w:eastAsia="宋体" w:cs="宋体"/>
          <w:b/>
          <w:bCs/>
          <w:sz w:val="30"/>
          <w:szCs w:val="30"/>
          <w:lang w:eastAsia="zh-CN"/>
        </w:rPr>
        <w:t>（</w:t>
      </w:r>
      <w:r>
        <w:rPr>
          <w:rFonts w:hint="eastAsia" w:ascii="宋体" w:hAnsi="宋体" w:eastAsia="宋体" w:cs="宋体"/>
          <w:b/>
          <w:bCs/>
          <w:sz w:val="30"/>
          <w:szCs w:val="30"/>
          <w:lang w:val="en-US" w:eastAsia="zh-CN"/>
        </w:rPr>
        <w:t>3</w:t>
      </w:r>
      <w:r>
        <w:rPr>
          <w:rFonts w:hint="eastAsia" w:ascii="宋体" w:hAnsi="宋体" w:eastAsia="宋体" w:cs="宋体"/>
          <w:b/>
          <w:bCs/>
          <w:sz w:val="30"/>
          <w:szCs w:val="30"/>
          <w:lang w:eastAsia="zh-CN"/>
        </w:rPr>
        <w:t>）</w:t>
      </w:r>
      <w:r>
        <w:rPr>
          <w:rFonts w:hint="eastAsia" w:ascii="宋体" w:hAnsi="宋体" w:eastAsia="宋体" w:cs="宋体"/>
          <w:b/>
          <w:bCs/>
          <w:sz w:val="30"/>
          <w:szCs w:val="30"/>
        </w:rPr>
        <w:t>燃气安全管理。</w:t>
      </w:r>
      <w:r>
        <w:rPr>
          <w:rFonts w:hint="eastAsia" w:ascii="宋体" w:hAnsi="宋体" w:eastAsia="宋体" w:cs="宋体"/>
          <w:sz w:val="30"/>
          <w:szCs w:val="30"/>
        </w:rPr>
        <w:t>根据省住房和城乡建设部发布的《湖南省创新开展“六化”工作全面强化燃气管理》文件精神</w:t>
      </w:r>
      <w:r>
        <w:rPr>
          <w:rFonts w:hint="eastAsia" w:ascii="宋体" w:hAnsi="宋体" w:eastAsia="宋体" w:cs="宋体"/>
          <w:sz w:val="30"/>
          <w:szCs w:val="30"/>
          <w:lang w:eastAsia="zh-CN"/>
        </w:rPr>
        <w:t>，</w:t>
      </w:r>
      <w:r>
        <w:rPr>
          <w:rFonts w:hint="eastAsia" w:ascii="宋体" w:hAnsi="宋体" w:eastAsia="宋体" w:cs="宋体"/>
          <w:sz w:val="30"/>
          <w:szCs w:val="30"/>
        </w:rPr>
        <w:t>联合相关部门开展隐患专项整治。共排查出安全隐患168处，168处已完成整改，安装报警器818户，更换安全阀1126个，更换橡胶软管22075户，其中居民用户21654户，非居民用户421户。进行燃气安全执法检查30次，移交案件线索21起，执法立案处罚3次，罚款8.06万元。已录入企业管理人员55人，检查人员19人；企业录入1277家，已排查33家，排查出安全隐患38个，隐患已全部完成整改。</w:t>
      </w:r>
    </w:p>
    <w:p w14:paraId="0CD6F914">
      <w:pPr>
        <w:spacing w:line="360" w:lineRule="auto"/>
        <w:ind w:firstLine="602" w:firstLineChars="200"/>
        <w:rPr>
          <w:rFonts w:hint="eastAsia" w:ascii="宋体" w:hAnsi="宋体" w:eastAsia="宋体" w:cs="宋体"/>
          <w:b/>
          <w:sz w:val="30"/>
          <w:szCs w:val="30"/>
          <w:lang w:val="en-US" w:eastAsia="zh-CN"/>
        </w:rPr>
      </w:pPr>
      <w:r>
        <w:rPr>
          <w:rFonts w:hint="eastAsia" w:ascii="宋体" w:hAnsi="宋体" w:eastAsia="宋体" w:cs="宋体"/>
          <w:b/>
          <w:sz w:val="30"/>
          <w:szCs w:val="30"/>
          <w:lang w:val="en-US" w:eastAsia="zh-CN"/>
        </w:rPr>
        <w:t>10、推进乡村振兴惠农惠民工作。</w:t>
      </w:r>
    </w:p>
    <w:p w14:paraId="763DA5C3">
      <w:pPr>
        <w:spacing w:line="360" w:lineRule="auto"/>
        <w:ind w:firstLine="600" w:firstLineChars="200"/>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向桃花江镇创业村和鲊埠回族乡大水田村派出的驻村帮扶工作队，安排专项资金，帮助基层党组织加强党建、基础设施建设、人居环境整治，支持村民发展种植、养殖业，推动产业振兴。创业村拓宽村组公路3公里，大水田村种植油菜100亩，联点村发展内生动力进一步增强。</w:t>
      </w:r>
    </w:p>
    <w:p w14:paraId="6FC4A3C7">
      <w:pPr>
        <w:overflowPunct w:val="0"/>
        <w:spacing w:line="360" w:lineRule="auto"/>
        <w:ind w:firstLine="602" w:firstLineChars="200"/>
        <w:rPr>
          <w:rFonts w:hint="eastAsia" w:ascii="宋体" w:hAnsi="宋体" w:eastAsia="宋体" w:cs="宋体"/>
          <w:b/>
          <w:bCs/>
          <w:color w:val="000000"/>
          <w:sz w:val="30"/>
          <w:szCs w:val="30"/>
        </w:rPr>
      </w:pPr>
      <w:r>
        <w:rPr>
          <w:rFonts w:hint="eastAsia" w:ascii="宋体" w:hAnsi="宋体" w:eastAsia="宋体" w:cs="宋体"/>
          <w:b/>
          <w:bCs/>
          <w:color w:val="000000"/>
          <w:sz w:val="30"/>
          <w:szCs w:val="30"/>
          <w:lang w:val="en-US" w:eastAsia="zh-CN"/>
        </w:rPr>
        <w:t>11</w:t>
      </w:r>
      <w:r>
        <w:rPr>
          <w:rFonts w:hint="eastAsia" w:ascii="宋体" w:hAnsi="宋体" w:eastAsia="宋体" w:cs="宋体"/>
          <w:b/>
          <w:bCs/>
          <w:color w:val="000000"/>
          <w:sz w:val="30"/>
          <w:szCs w:val="30"/>
        </w:rPr>
        <w:t>、立足运转高效，积极推进“四化建设”</w:t>
      </w:r>
    </w:p>
    <w:p w14:paraId="7C264B59">
      <w:pPr>
        <w:overflowPunct w:val="0"/>
        <w:snapToGrid w:val="0"/>
        <w:spacing w:line="360" w:lineRule="auto"/>
        <w:ind w:firstLine="600" w:firstLineChars="200"/>
        <w:rPr>
          <w:rFonts w:hint="eastAsia" w:ascii="宋体" w:hAnsi="宋体" w:eastAsia="宋体" w:cs="宋体"/>
          <w:sz w:val="30"/>
          <w:szCs w:val="30"/>
        </w:rPr>
      </w:pPr>
      <w:r>
        <w:rPr>
          <w:rFonts w:hint="eastAsia" w:ascii="宋体" w:hAnsi="宋体" w:eastAsia="宋体" w:cs="宋体"/>
          <w:color w:val="000000"/>
          <w:sz w:val="30"/>
          <w:szCs w:val="30"/>
        </w:rPr>
        <w:t>坚持创新方式方法，以“四化建设”为抓手，进一步规范局办公室系统工作流程，持续提升工作效能。</w:t>
      </w:r>
      <w:r>
        <w:rPr>
          <w:rFonts w:hint="eastAsia" w:ascii="宋体" w:hAnsi="宋体" w:eastAsia="宋体" w:cs="宋体"/>
          <w:b/>
          <w:bCs/>
          <w:color w:val="000000"/>
          <w:sz w:val="30"/>
          <w:szCs w:val="30"/>
        </w:rPr>
        <w:t>一是加强制度化建设。</w:t>
      </w:r>
      <w:r>
        <w:rPr>
          <w:rFonts w:hint="eastAsia" w:ascii="宋体" w:hAnsi="宋体" w:eastAsia="宋体" w:cs="宋体"/>
          <w:sz w:val="30"/>
          <w:szCs w:val="30"/>
        </w:rPr>
        <w:t>制定机关工作制度，将各项工作明细化、制度化，</w:t>
      </w:r>
      <w:r>
        <w:rPr>
          <w:rFonts w:hint="eastAsia" w:ascii="宋体" w:hAnsi="宋体" w:eastAsia="宋体" w:cs="宋体"/>
          <w:color w:val="000000"/>
          <w:sz w:val="30"/>
          <w:szCs w:val="30"/>
        </w:rPr>
        <w:t>严格实行定岗定人定责，完善考核评价和奖惩激励机制，做到精准考核、精准奖惩，充分激发干部队伍干事创业热情。</w:t>
      </w:r>
      <w:r>
        <w:rPr>
          <w:rFonts w:hint="eastAsia" w:ascii="宋体" w:hAnsi="宋体" w:eastAsia="宋体" w:cs="宋体"/>
          <w:b/>
          <w:bCs/>
          <w:color w:val="000000"/>
          <w:sz w:val="30"/>
          <w:szCs w:val="30"/>
        </w:rPr>
        <w:t>二是加强标准化建设。</w:t>
      </w:r>
      <w:r>
        <w:rPr>
          <w:rFonts w:hint="eastAsia" w:ascii="宋体" w:hAnsi="宋体" w:eastAsia="宋体" w:cs="宋体"/>
          <w:color w:val="000000"/>
          <w:sz w:val="30"/>
          <w:szCs w:val="30"/>
        </w:rPr>
        <w:t>以局机关股室和下属二级机构为单位列出业务清单，明晰各项业务工作的范围、责任和标准，明确办理方法、办理流程和办理要求。</w:t>
      </w:r>
      <w:r>
        <w:rPr>
          <w:rFonts w:hint="eastAsia" w:ascii="宋体" w:hAnsi="宋体" w:eastAsia="宋体" w:cs="宋体"/>
          <w:b/>
          <w:bCs/>
          <w:color w:val="000000"/>
          <w:sz w:val="30"/>
          <w:szCs w:val="30"/>
        </w:rPr>
        <w:t>三是加强程序化建设。</w:t>
      </w:r>
      <w:r>
        <w:rPr>
          <w:rFonts w:hint="eastAsia" w:ascii="宋体" w:hAnsi="宋体" w:eastAsia="宋体" w:cs="宋体"/>
          <w:color w:val="000000"/>
          <w:sz w:val="30"/>
          <w:szCs w:val="30"/>
        </w:rPr>
        <w:t>严格规范办文、办会、办事流程，明确操作的环节、步骤和时限，形成规范详细的工作流程图，确保工作开展有章可循、按章办理。</w:t>
      </w:r>
      <w:r>
        <w:rPr>
          <w:rFonts w:hint="eastAsia" w:ascii="宋体" w:hAnsi="宋体" w:eastAsia="宋体" w:cs="宋体"/>
          <w:b/>
          <w:bCs/>
          <w:color w:val="000000"/>
          <w:sz w:val="30"/>
          <w:szCs w:val="30"/>
        </w:rPr>
        <w:t>四是加强精细化建设。</w:t>
      </w:r>
      <w:r>
        <w:rPr>
          <w:rFonts w:hint="eastAsia" w:ascii="宋体" w:hAnsi="宋体" w:eastAsia="宋体" w:cs="宋体"/>
          <w:color w:val="000000"/>
          <w:sz w:val="30"/>
          <w:szCs w:val="30"/>
        </w:rPr>
        <w:t>在工作细节上追求精益求精，在工作效果上追求尽善尽美，文稿审阅、督查检查、会议安排、活动筹划、领导服务</w:t>
      </w:r>
      <w:r>
        <w:rPr>
          <w:rFonts w:hint="eastAsia" w:ascii="宋体" w:hAnsi="宋体" w:eastAsia="宋体" w:cs="宋体"/>
          <w:sz w:val="30"/>
          <w:szCs w:val="30"/>
        </w:rPr>
        <w:t>实现了零延误、零差错、零事故。</w:t>
      </w:r>
    </w:p>
    <w:p w14:paraId="20FB0BBD">
      <w:pPr>
        <w:pStyle w:val="6"/>
        <w:widowControl w:val="0"/>
        <w:shd w:val="clear" w:color="auto" w:fill="FFFFFF"/>
        <w:spacing w:before="0" w:beforeAutospacing="0" w:after="0" w:afterAutospacing="0" w:line="360" w:lineRule="auto"/>
        <w:ind w:firstLine="600" w:firstLineChars="200"/>
        <w:jc w:val="both"/>
        <w:rPr>
          <w:rFonts w:hint="eastAsia" w:ascii="宋体" w:hAnsi="宋体" w:eastAsia="宋体" w:cs="宋体"/>
          <w:sz w:val="30"/>
          <w:szCs w:val="30"/>
        </w:rPr>
      </w:pPr>
      <w:r>
        <w:rPr>
          <w:rFonts w:hint="eastAsia" w:ascii="宋体" w:hAnsi="宋体" w:eastAsia="宋体" w:cs="宋体"/>
          <w:color w:val="000000"/>
          <w:kern w:val="2"/>
          <w:sz w:val="30"/>
          <w:szCs w:val="30"/>
          <w:lang w:val="en-US" w:eastAsia="zh-CN" w:bidi="ar-SA"/>
        </w:rPr>
        <w:t>我局综合办公室紧紧围绕县委“12345”工作思路，突出“四化建设”、工作效能持续优化</w:t>
      </w:r>
      <w:r>
        <w:rPr>
          <w:rFonts w:hint="eastAsia" w:ascii="宋体" w:hAnsi="宋体" w:eastAsia="宋体" w:cs="宋体"/>
          <w:color w:val="333333"/>
          <w:sz w:val="30"/>
          <w:szCs w:val="30"/>
        </w:rPr>
        <w:t>。</w:t>
      </w:r>
      <w:r>
        <w:rPr>
          <w:rFonts w:hint="eastAsia" w:ascii="宋体" w:hAnsi="宋体" w:eastAsia="宋体" w:cs="宋体"/>
          <w:b/>
          <w:bCs/>
          <w:snapToGrid w:val="0"/>
          <w:kern w:val="30"/>
          <w:sz w:val="30"/>
          <w:szCs w:val="30"/>
        </w:rPr>
        <w:t>一是机关公文传输及材料起草工作按时完成。</w:t>
      </w:r>
      <w:r>
        <w:rPr>
          <w:rFonts w:hint="eastAsia" w:ascii="宋体" w:hAnsi="宋体" w:eastAsia="宋体" w:cs="宋体"/>
          <w:kern w:val="2"/>
          <w:sz w:val="30"/>
          <w:szCs w:val="30"/>
        </w:rPr>
        <w:t>全年共接收处理公文1600余件，确保了各项工作的及时开展和政令的畅通。做好了各类会议的前期材料起草、会后材料整理工作，完成了《桃江县燃气安全专项专项整治方案》等专题汇报工作。</w:t>
      </w:r>
      <w:r>
        <w:rPr>
          <w:rFonts w:hint="eastAsia" w:ascii="宋体" w:hAnsi="宋体" w:eastAsia="宋体" w:cs="宋体"/>
          <w:b/>
          <w:bCs/>
          <w:snapToGrid w:val="0"/>
          <w:kern w:val="30"/>
          <w:sz w:val="30"/>
          <w:szCs w:val="30"/>
        </w:rPr>
        <w:t>二是会务接待和上级考核检查工作有条不紊。</w:t>
      </w:r>
      <w:r>
        <w:rPr>
          <w:rFonts w:hint="eastAsia" w:ascii="宋体" w:hAnsi="宋体" w:eastAsia="宋体" w:cs="宋体"/>
          <w:kern w:val="2"/>
          <w:sz w:val="30"/>
          <w:szCs w:val="30"/>
        </w:rPr>
        <w:t>今年以来，我局先后召开了</w:t>
      </w:r>
      <w:r>
        <w:rPr>
          <w:rFonts w:hint="eastAsia" w:ascii="宋体" w:hAnsi="宋体" w:eastAsia="宋体" w:cs="宋体"/>
          <w:sz w:val="30"/>
          <w:szCs w:val="30"/>
        </w:rPr>
        <w:t>住房和城乡建设高质量发展工作会议及</w:t>
      </w:r>
      <w:r>
        <w:rPr>
          <w:rFonts w:hint="eastAsia" w:ascii="宋体" w:hAnsi="宋体" w:eastAsia="宋体" w:cs="宋体"/>
          <w:kern w:val="2"/>
          <w:sz w:val="30"/>
          <w:szCs w:val="30"/>
        </w:rPr>
        <w:t>培训会、调度会电视电话会议</w:t>
      </w:r>
      <w:r>
        <w:rPr>
          <w:rFonts w:hint="eastAsia" w:ascii="宋体" w:hAnsi="宋体" w:eastAsia="宋体" w:cs="宋体"/>
          <w:kern w:val="2"/>
          <w:sz w:val="30"/>
          <w:szCs w:val="30"/>
          <w:lang w:eastAsia="zh-CN"/>
        </w:rPr>
        <w:t>、</w:t>
      </w:r>
      <w:r>
        <w:rPr>
          <w:rFonts w:hint="eastAsia" w:ascii="宋体" w:hAnsi="宋体" w:eastAsia="宋体" w:cs="宋体"/>
          <w:kern w:val="2"/>
          <w:sz w:val="30"/>
          <w:szCs w:val="30"/>
          <w:lang w:val="en-US" w:eastAsia="zh-CN"/>
        </w:rPr>
        <w:t>督查、检查、调研</w:t>
      </w:r>
      <w:r>
        <w:rPr>
          <w:rFonts w:hint="eastAsia" w:ascii="宋体" w:hAnsi="宋体" w:eastAsia="宋体" w:cs="宋体"/>
          <w:kern w:val="2"/>
          <w:sz w:val="30"/>
          <w:szCs w:val="30"/>
        </w:rPr>
        <w:t>等大小会议</w:t>
      </w:r>
      <w:r>
        <w:rPr>
          <w:rFonts w:hint="eastAsia" w:ascii="宋体" w:hAnsi="宋体" w:eastAsia="宋体" w:cs="宋体"/>
          <w:sz w:val="30"/>
          <w:szCs w:val="30"/>
          <w:lang w:val="en-US" w:eastAsia="zh-CN"/>
        </w:rPr>
        <w:t>220</w:t>
      </w:r>
      <w:r>
        <w:rPr>
          <w:rFonts w:hint="eastAsia" w:ascii="宋体" w:hAnsi="宋体" w:eastAsia="宋体" w:cs="宋体"/>
          <w:kern w:val="2"/>
          <w:sz w:val="30"/>
          <w:szCs w:val="30"/>
        </w:rPr>
        <w:t>余次。局办公室从会议材料准备、议程安排、会务保障等方面精心组织、周密安排，确保了各项会议和考核检查顺利进行。</w:t>
      </w:r>
      <w:r>
        <w:rPr>
          <w:rFonts w:hint="eastAsia" w:ascii="宋体" w:hAnsi="宋体" w:eastAsia="宋体" w:cs="宋体"/>
          <w:b/>
          <w:bCs/>
          <w:snapToGrid w:val="0"/>
          <w:kern w:val="30"/>
          <w:sz w:val="30"/>
          <w:szCs w:val="30"/>
        </w:rPr>
        <w:t>三是城建档案、信息报道提质提效。</w:t>
      </w:r>
      <w:r>
        <w:rPr>
          <w:rFonts w:hint="eastAsia" w:ascii="宋体" w:hAnsi="宋体" w:eastAsia="宋体" w:cs="宋体"/>
          <w:color w:val="000000"/>
          <w:sz w:val="30"/>
          <w:szCs w:val="30"/>
          <w:shd w:val="clear" w:color="auto" w:fill="FFFFFF"/>
        </w:rPr>
        <w:t>局办公室对档案工作按专业实行统一管理，成立专门档案室，专人负责管理，扎实做好档案接收、审核、管理、利用。在中国网、湖南日报、红网、益阳日报、桃江公众信息网等各级务类主流媒体宣传推介住建工作，上稿8</w:t>
      </w:r>
      <w:r>
        <w:rPr>
          <w:rFonts w:hint="eastAsia" w:ascii="宋体" w:hAnsi="宋体" w:eastAsia="宋体" w:cs="宋体"/>
          <w:color w:val="000000"/>
          <w:sz w:val="30"/>
          <w:szCs w:val="30"/>
          <w:shd w:val="clear" w:color="auto" w:fill="FFFFFF"/>
          <w:lang w:val="en-US" w:eastAsia="zh-CN"/>
        </w:rPr>
        <w:t>0余</w:t>
      </w:r>
      <w:r>
        <w:rPr>
          <w:rFonts w:hint="eastAsia" w:ascii="宋体" w:hAnsi="宋体" w:eastAsia="宋体" w:cs="宋体"/>
          <w:color w:val="000000"/>
          <w:sz w:val="30"/>
          <w:szCs w:val="30"/>
          <w:shd w:val="clear" w:color="auto" w:fill="FFFFFF"/>
        </w:rPr>
        <w:t>篇。四是</w:t>
      </w:r>
      <w:r>
        <w:rPr>
          <w:rFonts w:hint="eastAsia" w:ascii="宋体" w:hAnsi="宋体" w:eastAsia="宋体" w:cs="宋体"/>
          <w:bCs/>
          <w:kern w:val="2"/>
          <w:sz w:val="30"/>
          <w:szCs w:val="30"/>
        </w:rPr>
        <w:t>后勤服务工作保障有力</w:t>
      </w:r>
      <w:r>
        <w:rPr>
          <w:rFonts w:hint="eastAsia" w:ascii="宋体" w:hAnsi="宋体" w:eastAsia="宋体" w:cs="宋体"/>
          <w:b/>
          <w:bCs/>
          <w:kern w:val="2"/>
          <w:sz w:val="30"/>
          <w:szCs w:val="30"/>
        </w:rPr>
        <w:t>。</w:t>
      </w:r>
      <w:r>
        <w:rPr>
          <w:rFonts w:hint="eastAsia" w:ascii="宋体" w:hAnsi="宋体" w:eastAsia="宋体" w:cs="宋体"/>
          <w:kern w:val="2"/>
          <w:sz w:val="30"/>
          <w:szCs w:val="30"/>
        </w:rPr>
        <w:t>进一步加强车辆的调配、使用和管理；坚持工作日夜间、双休日、节假日轮流值班制度，保证了一名班子成员和工作人员值班，确保了节假日和日常工作的需要；切实做好人大代表建议、政协委员提案的办理、档案资料的收集、整理和归档管理。</w:t>
      </w:r>
    </w:p>
    <w:p w14:paraId="5EB3FFB7">
      <w:pPr>
        <w:spacing w:line="360" w:lineRule="auto"/>
        <w:ind w:firstLine="600" w:firstLineChars="200"/>
        <w:rPr>
          <w:rFonts w:hint="eastAsia" w:ascii="宋体" w:hAnsi="宋体" w:eastAsia="宋体" w:cs="宋体"/>
          <w:bCs/>
          <w:kern w:val="2"/>
          <w:sz w:val="30"/>
          <w:szCs w:val="30"/>
          <w:lang w:val="en-US" w:eastAsia="zh-CN" w:bidi="ar-SA"/>
        </w:rPr>
      </w:pPr>
      <w:r>
        <w:rPr>
          <w:rFonts w:hint="eastAsia" w:ascii="宋体" w:hAnsi="宋体" w:eastAsia="宋体" w:cs="宋体"/>
          <w:bCs/>
          <w:kern w:val="2"/>
          <w:sz w:val="30"/>
          <w:szCs w:val="30"/>
          <w:lang w:val="en-US" w:eastAsia="zh-CN" w:bidi="ar-SA"/>
        </w:rPr>
        <w:t>12、2023年联网直报的26家规模以上建筑业企业完成建筑业总产值68.5亿元，房地产建设完成投资11.24亿元，完成立项争资4657万元，政府性投资项目预计年底全部完成。收入上解国库3345.21万元。获评“全省消防审验工作突出单位”“全省建筑节能与科技管理工作突出单位”荣誉称号。</w:t>
      </w:r>
    </w:p>
    <w:p w14:paraId="54B22BCE">
      <w:pPr>
        <w:spacing w:line="360" w:lineRule="auto"/>
        <w:ind w:firstLine="600" w:firstLineChars="200"/>
        <w:rPr>
          <w:rFonts w:hint="eastAsia" w:ascii="宋体" w:hAnsi="宋体" w:eastAsia="宋体" w:cs="宋体"/>
          <w:color w:val="000000" w:themeColor="text1"/>
          <w:kern w:val="0"/>
          <w:sz w:val="30"/>
          <w:szCs w:val="30"/>
        </w:rPr>
      </w:pPr>
      <w:r>
        <w:rPr>
          <w:rFonts w:hint="eastAsia" w:ascii="宋体" w:hAnsi="宋体" w:eastAsia="宋体" w:cs="宋体"/>
          <w:bCs/>
          <w:color w:val="000000" w:themeColor="text1"/>
          <w:kern w:val="0"/>
          <w:sz w:val="30"/>
          <w:szCs w:val="30"/>
        </w:rPr>
        <w:t>五、绩效评价工作开展情况</w:t>
      </w:r>
    </w:p>
    <w:p w14:paraId="613D3BF4">
      <w:pPr>
        <w:spacing w:line="360" w:lineRule="auto"/>
        <w:ind w:firstLine="602" w:firstLineChars="200"/>
        <w:rPr>
          <w:rFonts w:hint="eastAsia" w:ascii="宋体" w:hAnsi="宋体" w:eastAsia="宋体" w:cs="宋体"/>
          <w:color w:val="0000FF"/>
          <w:kern w:val="0"/>
          <w:sz w:val="30"/>
          <w:szCs w:val="30"/>
        </w:rPr>
      </w:pPr>
      <w:r>
        <w:rPr>
          <w:rFonts w:hint="eastAsia" w:ascii="宋体" w:hAnsi="宋体" w:eastAsia="宋体" w:cs="宋体"/>
          <w:b/>
          <w:bCs/>
          <w:color w:val="000000" w:themeColor="text1"/>
          <w:kern w:val="0"/>
          <w:sz w:val="30"/>
          <w:szCs w:val="30"/>
        </w:rPr>
        <w:t>（一）绩效评价目的</w:t>
      </w:r>
    </w:p>
    <w:p w14:paraId="5E446792">
      <w:pPr>
        <w:widowControl/>
        <w:spacing w:line="360" w:lineRule="auto"/>
        <w:ind w:firstLine="640"/>
        <w:rPr>
          <w:rFonts w:hint="eastAsia" w:ascii="宋体" w:hAnsi="宋体" w:eastAsia="宋体" w:cs="宋体"/>
          <w:bCs/>
          <w:color w:val="auto"/>
          <w:sz w:val="30"/>
          <w:szCs w:val="30"/>
        </w:rPr>
      </w:pPr>
      <w:r>
        <w:rPr>
          <w:rFonts w:hint="eastAsia" w:ascii="宋体" w:hAnsi="宋体" w:eastAsia="宋体" w:cs="宋体"/>
          <w:bCs/>
          <w:color w:val="auto"/>
          <w:sz w:val="30"/>
          <w:szCs w:val="30"/>
        </w:rPr>
        <w:t>绩效评价的目的为了全面分析和综合评价我局本级财政预算资金的使用管理情况，在于促进部门高效履职。同时，了解</w:t>
      </w:r>
      <w:r>
        <w:rPr>
          <w:rFonts w:hint="eastAsia" w:ascii="宋体" w:hAnsi="宋体" w:eastAsia="宋体" w:cs="宋体"/>
          <w:bCs/>
          <w:color w:val="auto"/>
          <w:sz w:val="30"/>
          <w:szCs w:val="30"/>
          <w:lang w:eastAsia="zh-CN"/>
        </w:rPr>
        <w:t>2023年</w:t>
      </w:r>
      <w:r>
        <w:rPr>
          <w:rFonts w:hint="eastAsia" w:ascii="宋体" w:hAnsi="宋体" w:eastAsia="宋体" w:cs="宋体"/>
          <w:bCs/>
          <w:color w:val="auto"/>
          <w:sz w:val="30"/>
          <w:szCs w:val="30"/>
        </w:rPr>
        <w:t>度我局部门整体支出资金的使用情况、管理情况、完成情况、资金使用效益情况，及时总结经验，分析存在的问题，采取切实有效的措施进一步改进和加强财政支出项目管理，切实提高财政资金使用效益。强化预算支出的责任和效率，为上级部门决策和下年度资金安排提供参考依据。</w:t>
      </w:r>
    </w:p>
    <w:p w14:paraId="2FBB1445">
      <w:pPr>
        <w:spacing w:line="360" w:lineRule="auto"/>
        <w:ind w:firstLine="602" w:firstLineChars="200"/>
        <w:rPr>
          <w:rFonts w:hint="eastAsia" w:ascii="宋体" w:hAnsi="宋体" w:eastAsia="宋体" w:cs="宋体"/>
          <w:b/>
          <w:bCs/>
          <w:color w:val="000000" w:themeColor="text1"/>
          <w:kern w:val="0"/>
          <w:sz w:val="30"/>
          <w:szCs w:val="30"/>
        </w:rPr>
      </w:pPr>
      <w:r>
        <w:rPr>
          <w:rFonts w:hint="eastAsia" w:ascii="宋体" w:hAnsi="宋体" w:eastAsia="宋体" w:cs="宋体"/>
          <w:b/>
          <w:bCs/>
          <w:color w:val="000000" w:themeColor="text1"/>
          <w:kern w:val="0"/>
          <w:sz w:val="30"/>
          <w:szCs w:val="30"/>
        </w:rPr>
        <w:t>（二）</w:t>
      </w:r>
      <w:r>
        <w:rPr>
          <w:rFonts w:hint="eastAsia" w:ascii="宋体" w:hAnsi="宋体" w:eastAsia="宋体" w:cs="宋体"/>
          <w:b/>
          <w:bCs/>
          <w:color w:val="000000" w:themeColor="text1"/>
          <w:sz w:val="30"/>
          <w:szCs w:val="30"/>
        </w:rPr>
        <w:t>绩效评价依据</w:t>
      </w:r>
    </w:p>
    <w:p w14:paraId="710CA006">
      <w:pPr>
        <w:widowControl/>
        <w:spacing w:line="360" w:lineRule="auto"/>
        <w:ind w:firstLine="640"/>
        <w:rPr>
          <w:rFonts w:hint="eastAsia" w:ascii="宋体" w:hAnsi="宋体" w:eastAsia="宋体" w:cs="宋体"/>
          <w:bCs/>
          <w:color w:val="auto"/>
          <w:sz w:val="30"/>
          <w:szCs w:val="30"/>
        </w:rPr>
      </w:pPr>
      <w:r>
        <w:rPr>
          <w:rFonts w:hint="eastAsia" w:ascii="宋体" w:hAnsi="宋体" w:eastAsia="宋体" w:cs="宋体"/>
          <w:bCs/>
          <w:color w:val="auto"/>
          <w:sz w:val="30"/>
          <w:szCs w:val="30"/>
        </w:rPr>
        <w:t>《中华人民共和国预算法》、《财政部关于印发〈项目支出绩效评价管理办法〉的通知》（财预〔2020〕10号）、《中共湖南省委办公厅 湖南省人民政府办公厅关于全面实施预算绩效管理的实施意见》（湘办发〔2019〕10号）、《湖南省预算支出绩效评价管理办法》（湘财绩〔2020〕7号）、《桃江县人民政府关于推进全县预算绩效管理的实施意见》（桃政发〔2013〕25号）等文件，专项资金管理办法，项目审计报告和验收报告，部门职能、规划、年度工作计划，部门预算资金、项目管理规定，财务会计制度，财政部门预算批复、部门年度预算执行情况、年度决算报告、年度部门支出预算绩效目标等。</w:t>
      </w:r>
    </w:p>
    <w:p w14:paraId="345643D7">
      <w:pPr>
        <w:spacing w:line="360" w:lineRule="auto"/>
        <w:ind w:firstLine="602" w:firstLineChars="200"/>
        <w:rPr>
          <w:rFonts w:hint="eastAsia" w:ascii="宋体" w:hAnsi="宋体" w:eastAsia="宋体" w:cs="宋体"/>
          <w:color w:val="000000" w:themeColor="text1"/>
          <w:kern w:val="0"/>
          <w:sz w:val="30"/>
          <w:szCs w:val="30"/>
          <w:highlight w:val="none"/>
        </w:rPr>
      </w:pPr>
      <w:r>
        <w:rPr>
          <w:rFonts w:hint="eastAsia" w:ascii="宋体" w:hAnsi="宋体" w:eastAsia="宋体" w:cs="宋体"/>
          <w:b/>
          <w:bCs/>
          <w:color w:val="000000" w:themeColor="text1"/>
          <w:sz w:val="30"/>
          <w:szCs w:val="30"/>
          <w:highlight w:val="none"/>
        </w:rPr>
        <w:t>（</w:t>
      </w:r>
      <w:r>
        <w:rPr>
          <w:rFonts w:hint="eastAsia" w:ascii="宋体" w:hAnsi="宋体" w:eastAsia="宋体" w:cs="宋体"/>
          <w:b/>
          <w:bCs/>
          <w:color w:val="000000" w:themeColor="text1"/>
          <w:sz w:val="30"/>
          <w:szCs w:val="30"/>
          <w:highlight w:val="none"/>
          <w:lang w:eastAsia="zh-CN"/>
        </w:rPr>
        <w:t>三</w:t>
      </w:r>
      <w:r>
        <w:rPr>
          <w:rFonts w:hint="eastAsia" w:ascii="宋体" w:hAnsi="宋体" w:eastAsia="宋体" w:cs="宋体"/>
          <w:b/>
          <w:bCs/>
          <w:color w:val="000000" w:themeColor="text1"/>
          <w:sz w:val="30"/>
          <w:szCs w:val="30"/>
          <w:highlight w:val="none"/>
        </w:rPr>
        <w:t>）</w:t>
      </w:r>
      <w:r>
        <w:rPr>
          <w:rFonts w:hint="eastAsia" w:ascii="宋体" w:hAnsi="宋体" w:eastAsia="宋体" w:cs="宋体"/>
          <w:color w:val="000000" w:themeColor="text1"/>
          <w:kern w:val="0"/>
          <w:sz w:val="30"/>
          <w:szCs w:val="30"/>
          <w:highlight w:val="none"/>
        </w:rPr>
        <w:t>绩效评价工作过程，主要包括前期准备、组织实施和分析评价以及自评结果等内容。</w:t>
      </w:r>
    </w:p>
    <w:p w14:paraId="6F24BB0C">
      <w:pPr>
        <w:pStyle w:val="11"/>
        <w:spacing w:line="360" w:lineRule="auto"/>
        <w:ind w:firstLine="602" w:firstLineChars="200"/>
        <w:rPr>
          <w:rFonts w:hint="eastAsia" w:ascii="宋体" w:hAnsi="宋体" w:eastAsia="宋体" w:cs="宋体"/>
          <w:b/>
          <w:color w:val="auto"/>
          <w:kern w:val="2"/>
          <w:sz w:val="30"/>
          <w:szCs w:val="30"/>
        </w:rPr>
      </w:pPr>
      <w:r>
        <w:rPr>
          <w:rFonts w:hint="eastAsia" w:ascii="宋体" w:hAnsi="宋体" w:eastAsia="宋体" w:cs="宋体"/>
          <w:b/>
          <w:color w:val="auto"/>
          <w:kern w:val="2"/>
          <w:sz w:val="30"/>
          <w:szCs w:val="30"/>
        </w:rPr>
        <w:t xml:space="preserve"> 1、前期准备阶段</w:t>
      </w:r>
    </w:p>
    <w:p w14:paraId="3E3FBC7F">
      <w:pPr>
        <w:pStyle w:val="11"/>
        <w:spacing w:line="360" w:lineRule="auto"/>
        <w:ind w:firstLine="602" w:firstLineChars="200"/>
        <w:rPr>
          <w:rFonts w:hint="eastAsia" w:ascii="宋体" w:hAnsi="宋体" w:eastAsia="宋体" w:cs="宋体"/>
          <w:bCs/>
          <w:color w:val="000000" w:themeColor="text1"/>
          <w:kern w:val="2"/>
          <w:sz w:val="30"/>
          <w:szCs w:val="30"/>
        </w:rPr>
      </w:pPr>
      <w:r>
        <w:rPr>
          <w:rFonts w:hint="eastAsia" w:ascii="宋体" w:hAnsi="宋体" w:eastAsia="宋体" w:cs="宋体"/>
          <w:b/>
          <w:bCs w:val="0"/>
          <w:color w:val="auto"/>
          <w:kern w:val="2"/>
          <w:sz w:val="30"/>
          <w:szCs w:val="30"/>
        </w:rPr>
        <w:t>1.1、评价工作的组织</w:t>
      </w:r>
      <w:r>
        <w:rPr>
          <w:rFonts w:hint="eastAsia" w:ascii="宋体" w:hAnsi="宋体" w:eastAsia="宋体" w:cs="宋体"/>
          <w:bCs/>
          <w:color w:val="auto"/>
          <w:kern w:val="2"/>
          <w:sz w:val="30"/>
          <w:szCs w:val="30"/>
        </w:rPr>
        <w:t>。部门整体支出绩效评价工作由县自然资源局牵头、相关股室及二级机构和项目地组</w:t>
      </w:r>
      <w:r>
        <w:rPr>
          <w:rFonts w:hint="eastAsia" w:ascii="宋体" w:hAnsi="宋体" w:eastAsia="宋体" w:cs="宋体"/>
          <w:bCs/>
          <w:color w:val="000000" w:themeColor="text1"/>
          <w:kern w:val="2"/>
          <w:sz w:val="30"/>
          <w:szCs w:val="30"/>
        </w:rPr>
        <w:t>织配合、</w:t>
      </w:r>
      <w:r>
        <w:rPr>
          <w:rFonts w:hint="eastAsia" w:ascii="宋体" w:hAnsi="宋体" w:eastAsia="宋体" w:cs="宋体"/>
          <w:bCs/>
          <w:color w:val="000000" w:themeColor="text1"/>
          <w:kern w:val="2"/>
          <w:sz w:val="30"/>
          <w:szCs w:val="30"/>
          <w:lang w:eastAsia="zh-CN"/>
        </w:rPr>
        <w:t>桃江胜算</w:t>
      </w:r>
      <w:r>
        <w:rPr>
          <w:rFonts w:hint="eastAsia" w:ascii="宋体" w:hAnsi="宋体" w:eastAsia="宋体" w:cs="宋体"/>
          <w:bCs/>
          <w:color w:val="000000" w:themeColor="text1"/>
          <w:kern w:val="2"/>
          <w:sz w:val="30"/>
          <w:szCs w:val="30"/>
        </w:rPr>
        <w:t>会计事务有限公司（以下简称</w:t>
      </w:r>
      <w:r>
        <w:rPr>
          <w:rFonts w:hint="eastAsia" w:ascii="宋体" w:hAnsi="宋体" w:eastAsia="宋体" w:cs="宋体"/>
          <w:bCs/>
          <w:color w:val="000000" w:themeColor="text1"/>
          <w:kern w:val="2"/>
          <w:sz w:val="30"/>
          <w:szCs w:val="30"/>
          <w:lang w:eastAsia="zh-CN"/>
        </w:rPr>
        <w:t>胜算</w:t>
      </w:r>
      <w:r>
        <w:rPr>
          <w:rFonts w:hint="eastAsia" w:ascii="宋体" w:hAnsi="宋体" w:eastAsia="宋体" w:cs="宋体"/>
          <w:bCs/>
          <w:color w:val="000000" w:themeColor="text1"/>
          <w:kern w:val="2"/>
          <w:sz w:val="30"/>
          <w:szCs w:val="30"/>
        </w:rPr>
        <w:t>事务所）现场评价工作小组负责具体工作。</w:t>
      </w:r>
    </w:p>
    <w:p w14:paraId="32929BDA">
      <w:pPr>
        <w:pStyle w:val="11"/>
        <w:spacing w:line="360" w:lineRule="auto"/>
        <w:ind w:firstLine="602" w:firstLineChars="200"/>
        <w:rPr>
          <w:rFonts w:hint="eastAsia" w:ascii="宋体" w:hAnsi="宋体" w:eastAsia="宋体" w:cs="宋体"/>
          <w:bCs/>
          <w:color w:val="auto"/>
          <w:kern w:val="2"/>
          <w:sz w:val="30"/>
          <w:szCs w:val="30"/>
        </w:rPr>
      </w:pPr>
      <w:r>
        <w:rPr>
          <w:rFonts w:hint="eastAsia" w:ascii="宋体" w:hAnsi="宋体" w:eastAsia="宋体" w:cs="宋体"/>
          <w:b/>
          <w:bCs w:val="0"/>
          <w:color w:val="000000" w:themeColor="text1"/>
          <w:kern w:val="2"/>
          <w:sz w:val="30"/>
          <w:szCs w:val="30"/>
        </w:rPr>
        <w:t>1.2、评价工作的职责分工</w:t>
      </w:r>
      <w:r>
        <w:rPr>
          <w:rFonts w:hint="eastAsia" w:ascii="宋体" w:hAnsi="宋体" w:eastAsia="宋体" w:cs="宋体"/>
          <w:bCs/>
          <w:color w:val="000000" w:themeColor="text1"/>
          <w:kern w:val="2"/>
          <w:sz w:val="30"/>
          <w:szCs w:val="30"/>
        </w:rPr>
        <w:t>。现场评价小组由相关各股室人员和</w:t>
      </w:r>
      <w:r>
        <w:rPr>
          <w:rFonts w:hint="eastAsia" w:ascii="宋体" w:hAnsi="宋体" w:eastAsia="宋体" w:cs="宋体"/>
          <w:bCs/>
          <w:color w:val="000000" w:themeColor="text1"/>
          <w:kern w:val="2"/>
          <w:sz w:val="30"/>
          <w:szCs w:val="30"/>
          <w:lang w:eastAsia="zh-CN"/>
        </w:rPr>
        <w:t>胜算</w:t>
      </w:r>
      <w:r>
        <w:rPr>
          <w:rFonts w:hint="eastAsia" w:ascii="宋体" w:hAnsi="宋体" w:eastAsia="宋体" w:cs="宋体"/>
          <w:bCs/>
          <w:color w:val="000000" w:themeColor="text1"/>
          <w:kern w:val="2"/>
          <w:sz w:val="30"/>
          <w:szCs w:val="30"/>
        </w:rPr>
        <w:t>事务所人员组成，负责财政资金收入支出情况财务审查，</w:t>
      </w:r>
      <w:r>
        <w:rPr>
          <w:rFonts w:hint="eastAsia" w:ascii="宋体" w:hAnsi="宋体" w:eastAsia="宋体" w:cs="宋体"/>
          <w:bCs/>
          <w:color w:val="auto"/>
          <w:kern w:val="2"/>
          <w:sz w:val="30"/>
          <w:szCs w:val="30"/>
        </w:rPr>
        <w:t>查阅相关文件、调整变更、申报审批、验收、成果等资料，调查问卷，调查询问相关人员核实相关情况，抽查一定项目进行现场工程查看、拍照、测量、核对，现场调查问卷，小组人员相互之间工作配合和及时沟通，形成绩效评价现场工作记录。</w:t>
      </w:r>
    </w:p>
    <w:p w14:paraId="4C50BE85">
      <w:pPr>
        <w:pStyle w:val="11"/>
        <w:spacing w:line="360" w:lineRule="auto"/>
        <w:ind w:firstLine="602" w:firstLineChars="200"/>
        <w:rPr>
          <w:rFonts w:hint="eastAsia" w:ascii="宋体" w:hAnsi="宋体" w:eastAsia="宋体" w:cs="宋体"/>
          <w:bCs/>
          <w:color w:val="auto"/>
          <w:kern w:val="2"/>
          <w:sz w:val="30"/>
          <w:szCs w:val="30"/>
        </w:rPr>
      </w:pPr>
      <w:r>
        <w:rPr>
          <w:rFonts w:hint="eastAsia" w:ascii="宋体" w:hAnsi="宋体" w:eastAsia="宋体" w:cs="宋体"/>
          <w:b/>
          <w:bCs w:val="0"/>
          <w:color w:val="auto"/>
          <w:kern w:val="2"/>
          <w:sz w:val="30"/>
          <w:szCs w:val="30"/>
          <w:highlight w:val="none"/>
        </w:rPr>
        <w:t>1.3、时间安排。</w:t>
      </w:r>
      <w:r>
        <w:rPr>
          <w:rFonts w:hint="eastAsia" w:ascii="宋体" w:hAnsi="宋体" w:eastAsia="宋体" w:cs="宋体"/>
          <w:bCs/>
          <w:color w:val="auto"/>
          <w:kern w:val="2"/>
          <w:sz w:val="30"/>
          <w:szCs w:val="30"/>
          <w:highlight w:val="none"/>
        </w:rPr>
        <w:t>在202</w:t>
      </w:r>
      <w:r>
        <w:rPr>
          <w:rFonts w:hint="eastAsia" w:ascii="宋体" w:hAnsi="宋体" w:eastAsia="宋体" w:cs="宋体"/>
          <w:bCs/>
          <w:color w:val="auto"/>
          <w:kern w:val="2"/>
          <w:sz w:val="30"/>
          <w:szCs w:val="30"/>
          <w:highlight w:val="none"/>
          <w:lang w:val="en-US" w:eastAsia="zh-CN"/>
        </w:rPr>
        <w:t>4</w:t>
      </w:r>
      <w:r>
        <w:rPr>
          <w:rFonts w:hint="eastAsia" w:ascii="宋体" w:hAnsi="宋体" w:eastAsia="宋体" w:cs="宋体"/>
          <w:bCs/>
          <w:color w:val="auto"/>
          <w:kern w:val="2"/>
          <w:sz w:val="30"/>
          <w:szCs w:val="30"/>
          <w:highlight w:val="none"/>
        </w:rPr>
        <w:t>年</w:t>
      </w:r>
      <w:r>
        <w:rPr>
          <w:rFonts w:hint="eastAsia" w:ascii="宋体" w:hAnsi="宋体" w:eastAsia="宋体" w:cs="宋体"/>
          <w:bCs/>
          <w:color w:val="auto"/>
          <w:kern w:val="2"/>
          <w:sz w:val="30"/>
          <w:szCs w:val="30"/>
          <w:highlight w:val="none"/>
          <w:lang w:val="en-US" w:eastAsia="zh-CN"/>
        </w:rPr>
        <w:t>5</w:t>
      </w:r>
      <w:r>
        <w:rPr>
          <w:rFonts w:hint="eastAsia" w:ascii="宋体" w:hAnsi="宋体" w:eastAsia="宋体" w:cs="宋体"/>
          <w:bCs/>
          <w:color w:val="auto"/>
          <w:kern w:val="2"/>
          <w:sz w:val="30"/>
          <w:szCs w:val="30"/>
          <w:highlight w:val="none"/>
        </w:rPr>
        <w:t>月</w:t>
      </w:r>
      <w:r>
        <w:rPr>
          <w:rFonts w:hint="eastAsia" w:ascii="宋体" w:hAnsi="宋体" w:eastAsia="宋体" w:cs="宋体"/>
          <w:bCs/>
          <w:color w:val="auto"/>
          <w:kern w:val="2"/>
          <w:sz w:val="30"/>
          <w:szCs w:val="30"/>
          <w:highlight w:val="none"/>
          <w:lang w:val="en-US" w:eastAsia="zh-CN"/>
        </w:rPr>
        <w:t>8</w:t>
      </w:r>
      <w:r>
        <w:rPr>
          <w:rFonts w:hint="eastAsia" w:ascii="宋体" w:hAnsi="宋体" w:eastAsia="宋体" w:cs="宋体"/>
          <w:bCs/>
          <w:color w:val="auto"/>
          <w:kern w:val="2"/>
          <w:sz w:val="30"/>
          <w:szCs w:val="30"/>
          <w:highlight w:val="none"/>
        </w:rPr>
        <w:t>日前，根据</w:t>
      </w:r>
      <w:r>
        <w:rPr>
          <w:rFonts w:hint="eastAsia" w:ascii="宋体" w:hAnsi="宋体" w:eastAsia="宋体" w:cs="宋体"/>
          <w:bCs/>
          <w:color w:val="auto"/>
          <w:kern w:val="2"/>
          <w:sz w:val="30"/>
          <w:szCs w:val="30"/>
          <w:highlight w:val="none"/>
          <w:lang w:eastAsia="zh-CN"/>
        </w:rPr>
        <w:t>2023年</w:t>
      </w:r>
      <w:r>
        <w:rPr>
          <w:rFonts w:hint="eastAsia" w:ascii="宋体" w:hAnsi="宋体" w:eastAsia="宋体" w:cs="宋体"/>
          <w:bCs/>
          <w:color w:val="auto"/>
          <w:kern w:val="2"/>
          <w:sz w:val="30"/>
          <w:szCs w:val="30"/>
          <w:highlight w:val="none"/>
        </w:rPr>
        <w:t>度部门整体支出预算、实施情况，酝酿绩效评价工作方案，在反复征求意见经局领导审查的基础上，形成</w:t>
      </w:r>
      <w:r>
        <w:rPr>
          <w:rFonts w:hint="eastAsia" w:ascii="宋体" w:hAnsi="宋体" w:eastAsia="宋体" w:cs="宋体"/>
          <w:bCs/>
          <w:color w:val="auto"/>
          <w:kern w:val="2"/>
          <w:sz w:val="30"/>
          <w:szCs w:val="30"/>
          <w:highlight w:val="none"/>
          <w:lang w:eastAsia="zh-CN"/>
        </w:rPr>
        <w:t>2023年</w:t>
      </w:r>
      <w:r>
        <w:rPr>
          <w:rFonts w:hint="eastAsia" w:ascii="宋体" w:hAnsi="宋体" w:eastAsia="宋体" w:cs="宋体"/>
          <w:bCs/>
          <w:color w:val="auto"/>
          <w:kern w:val="2"/>
          <w:sz w:val="30"/>
          <w:szCs w:val="30"/>
          <w:highlight w:val="none"/>
        </w:rPr>
        <w:t>度部门整体支出绩效评价方案及工作步骤。工作实施阶段。在202</w:t>
      </w:r>
      <w:r>
        <w:rPr>
          <w:rFonts w:hint="eastAsia" w:ascii="宋体" w:hAnsi="宋体" w:eastAsia="宋体" w:cs="宋体"/>
          <w:bCs/>
          <w:color w:val="auto"/>
          <w:kern w:val="2"/>
          <w:sz w:val="30"/>
          <w:szCs w:val="30"/>
          <w:highlight w:val="none"/>
          <w:lang w:val="en-US" w:eastAsia="zh-CN"/>
        </w:rPr>
        <w:t>4</w:t>
      </w:r>
      <w:r>
        <w:rPr>
          <w:rFonts w:hint="eastAsia" w:ascii="宋体" w:hAnsi="宋体" w:eastAsia="宋体" w:cs="宋体"/>
          <w:bCs/>
          <w:color w:val="auto"/>
          <w:kern w:val="2"/>
          <w:sz w:val="30"/>
          <w:szCs w:val="30"/>
          <w:highlight w:val="none"/>
        </w:rPr>
        <w:t>年</w:t>
      </w:r>
      <w:r>
        <w:rPr>
          <w:rFonts w:hint="eastAsia" w:ascii="宋体" w:hAnsi="宋体" w:eastAsia="宋体" w:cs="宋体"/>
          <w:bCs/>
          <w:color w:val="auto"/>
          <w:kern w:val="2"/>
          <w:sz w:val="30"/>
          <w:szCs w:val="30"/>
          <w:highlight w:val="none"/>
          <w:lang w:val="en-US" w:eastAsia="zh-CN"/>
        </w:rPr>
        <w:t>5</w:t>
      </w:r>
      <w:r>
        <w:rPr>
          <w:rFonts w:hint="eastAsia" w:ascii="宋体" w:hAnsi="宋体" w:eastAsia="宋体" w:cs="宋体"/>
          <w:bCs/>
          <w:color w:val="auto"/>
          <w:kern w:val="2"/>
          <w:sz w:val="30"/>
          <w:szCs w:val="30"/>
          <w:highlight w:val="none"/>
        </w:rPr>
        <w:t>月</w:t>
      </w:r>
      <w:r>
        <w:rPr>
          <w:rFonts w:hint="eastAsia" w:ascii="宋体" w:hAnsi="宋体" w:eastAsia="宋体" w:cs="宋体"/>
          <w:bCs/>
          <w:color w:val="auto"/>
          <w:kern w:val="2"/>
          <w:sz w:val="30"/>
          <w:szCs w:val="30"/>
          <w:highlight w:val="none"/>
          <w:lang w:val="en-US" w:eastAsia="zh-CN"/>
        </w:rPr>
        <w:t>9</w:t>
      </w:r>
      <w:r>
        <w:rPr>
          <w:rFonts w:hint="eastAsia" w:ascii="宋体" w:hAnsi="宋体" w:eastAsia="宋体" w:cs="宋体"/>
          <w:bCs/>
          <w:color w:val="auto"/>
          <w:kern w:val="2"/>
          <w:sz w:val="30"/>
          <w:szCs w:val="30"/>
          <w:highlight w:val="none"/>
        </w:rPr>
        <w:t>日至202</w:t>
      </w:r>
      <w:r>
        <w:rPr>
          <w:rFonts w:hint="eastAsia" w:ascii="宋体" w:hAnsi="宋体" w:eastAsia="宋体" w:cs="宋体"/>
          <w:bCs/>
          <w:color w:val="auto"/>
          <w:kern w:val="2"/>
          <w:sz w:val="30"/>
          <w:szCs w:val="30"/>
          <w:highlight w:val="none"/>
          <w:lang w:val="en-US" w:eastAsia="zh-CN"/>
        </w:rPr>
        <w:t>4</w:t>
      </w:r>
      <w:r>
        <w:rPr>
          <w:rFonts w:hint="eastAsia" w:ascii="宋体" w:hAnsi="宋体" w:eastAsia="宋体" w:cs="宋体"/>
          <w:bCs/>
          <w:color w:val="auto"/>
          <w:kern w:val="2"/>
          <w:sz w:val="30"/>
          <w:szCs w:val="30"/>
          <w:highlight w:val="none"/>
        </w:rPr>
        <w:t>年</w:t>
      </w:r>
      <w:r>
        <w:rPr>
          <w:rFonts w:hint="eastAsia" w:ascii="宋体" w:hAnsi="宋体" w:eastAsia="宋体" w:cs="宋体"/>
          <w:bCs/>
          <w:color w:val="auto"/>
          <w:kern w:val="2"/>
          <w:sz w:val="30"/>
          <w:szCs w:val="30"/>
          <w:highlight w:val="none"/>
          <w:lang w:val="en-US" w:eastAsia="zh-CN"/>
        </w:rPr>
        <w:t>6</w:t>
      </w:r>
      <w:r>
        <w:rPr>
          <w:rFonts w:hint="eastAsia" w:ascii="宋体" w:hAnsi="宋体" w:eastAsia="宋体" w:cs="宋体"/>
          <w:bCs/>
          <w:color w:val="auto"/>
          <w:kern w:val="2"/>
          <w:sz w:val="30"/>
          <w:szCs w:val="30"/>
          <w:highlight w:val="none"/>
        </w:rPr>
        <w:t>月</w:t>
      </w:r>
      <w:r>
        <w:rPr>
          <w:rFonts w:hint="eastAsia" w:ascii="宋体" w:hAnsi="宋体" w:eastAsia="宋体" w:cs="宋体"/>
          <w:bCs/>
          <w:color w:val="auto"/>
          <w:kern w:val="2"/>
          <w:sz w:val="30"/>
          <w:szCs w:val="30"/>
          <w:highlight w:val="none"/>
          <w:lang w:val="en-US" w:eastAsia="zh-CN"/>
        </w:rPr>
        <w:t>22</w:t>
      </w:r>
      <w:r>
        <w:rPr>
          <w:rFonts w:hint="eastAsia" w:ascii="宋体" w:hAnsi="宋体" w:eastAsia="宋体" w:cs="宋体"/>
          <w:bCs/>
          <w:color w:val="auto"/>
          <w:kern w:val="2"/>
          <w:sz w:val="30"/>
          <w:szCs w:val="30"/>
          <w:highlight w:val="none"/>
        </w:rPr>
        <w:t>日进行评价工作，202</w:t>
      </w:r>
      <w:r>
        <w:rPr>
          <w:rFonts w:hint="eastAsia" w:ascii="宋体" w:hAnsi="宋体" w:eastAsia="宋体" w:cs="宋体"/>
          <w:bCs/>
          <w:color w:val="auto"/>
          <w:kern w:val="2"/>
          <w:sz w:val="30"/>
          <w:szCs w:val="30"/>
          <w:highlight w:val="none"/>
          <w:lang w:val="en-US" w:eastAsia="zh-CN"/>
        </w:rPr>
        <w:t>4</w:t>
      </w:r>
      <w:r>
        <w:rPr>
          <w:rFonts w:hint="eastAsia" w:ascii="宋体" w:hAnsi="宋体" w:eastAsia="宋体" w:cs="宋体"/>
          <w:bCs/>
          <w:color w:val="auto"/>
          <w:kern w:val="2"/>
          <w:sz w:val="30"/>
          <w:szCs w:val="30"/>
          <w:highlight w:val="none"/>
        </w:rPr>
        <w:t>年</w:t>
      </w:r>
      <w:r>
        <w:rPr>
          <w:rFonts w:hint="eastAsia" w:ascii="宋体" w:hAnsi="宋体" w:eastAsia="宋体" w:cs="宋体"/>
          <w:bCs/>
          <w:color w:val="auto"/>
          <w:kern w:val="2"/>
          <w:sz w:val="30"/>
          <w:szCs w:val="30"/>
          <w:highlight w:val="none"/>
          <w:lang w:val="en-US" w:eastAsia="zh-CN"/>
        </w:rPr>
        <w:t>6</w:t>
      </w:r>
      <w:r>
        <w:rPr>
          <w:rFonts w:hint="eastAsia" w:ascii="宋体" w:hAnsi="宋体" w:eastAsia="宋体" w:cs="宋体"/>
          <w:bCs/>
          <w:color w:val="auto"/>
          <w:kern w:val="2"/>
          <w:sz w:val="30"/>
          <w:szCs w:val="30"/>
          <w:highlight w:val="none"/>
        </w:rPr>
        <w:t>月</w:t>
      </w:r>
      <w:r>
        <w:rPr>
          <w:rFonts w:hint="eastAsia" w:ascii="宋体" w:hAnsi="宋体" w:eastAsia="宋体" w:cs="宋体"/>
          <w:bCs/>
          <w:color w:val="auto"/>
          <w:kern w:val="2"/>
          <w:sz w:val="30"/>
          <w:szCs w:val="30"/>
          <w:highlight w:val="none"/>
          <w:lang w:val="en-US" w:eastAsia="zh-CN"/>
        </w:rPr>
        <w:t>30</w:t>
      </w:r>
      <w:r>
        <w:rPr>
          <w:rFonts w:hint="eastAsia" w:ascii="宋体" w:hAnsi="宋体" w:eastAsia="宋体" w:cs="宋体"/>
          <w:bCs/>
          <w:color w:val="auto"/>
          <w:kern w:val="2"/>
          <w:sz w:val="30"/>
          <w:szCs w:val="30"/>
          <w:highlight w:val="none"/>
        </w:rPr>
        <w:t>日前汇总、</w:t>
      </w:r>
      <w:r>
        <w:rPr>
          <w:rFonts w:hint="eastAsia" w:ascii="宋体" w:hAnsi="宋体" w:eastAsia="宋体" w:cs="宋体"/>
          <w:bCs/>
          <w:color w:val="auto"/>
          <w:kern w:val="2"/>
          <w:sz w:val="30"/>
          <w:szCs w:val="30"/>
        </w:rPr>
        <w:t>出具评价报告初稿，待局领导审查后出具正式报告。</w:t>
      </w:r>
    </w:p>
    <w:p w14:paraId="7078EAB1">
      <w:pPr>
        <w:pStyle w:val="11"/>
        <w:spacing w:line="360" w:lineRule="auto"/>
        <w:ind w:firstLine="602" w:firstLineChars="200"/>
        <w:rPr>
          <w:rFonts w:hint="eastAsia" w:ascii="宋体" w:hAnsi="宋体" w:eastAsia="宋体" w:cs="宋体"/>
          <w:b/>
          <w:kern w:val="2"/>
          <w:sz w:val="30"/>
          <w:szCs w:val="30"/>
        </w:rPr>
      </w:pPr>
      <w:r>
        <w:rPr>
          <w:rFonts w:hint="eastAsia" w:ascii="宋体" w:hAnsi="宋体" w:eastAsia="宋体" w:cs="宋体"/>
          <w:b/>
          <w:kern w:val="2"/>
          <w:sz w:val="30"/>
          <w:szCs w:val="30"/>
        </w:rPr>
        <w:t>2、组织实施和分析评价</w:t>
      </w:r>
    </w:p>
    <w:p w14:paraId="6BF702BB">
      <w:pPr>
        <w:pStyle w:val="11"/>
        <w:spacing w:line="360" w:lineRule="auto"/>
        <w:ind w:firstLine="602" w:firstLineChars="200"/>
        <w:rPr>
          <w:rFonts w:hint="eastAsia" w:ascii="宋体" w:hAnsi="宋体" w:eastAsia="宋体" w:cs="宋体"/>
          <w:b/>
          <w:bCs w:val="0"/>
          <w:kern w:val="2"/>
          <w:sz w:val="30"/>
          <w:szCs w:val="30"/>
        </w:rPr>
      </w:pPr>
      <w:r>
        <w:rPr>
          <w:rFonts w:hint="eastAsia" w:ascii="宋体" w:hAnsi="宋体" w:eastAsia="宋体" w:cs="宋体"/>
          <w:b/>
          <w:bCs w:val="0"/>
          <w:kern w:val="2"/>
          <w:sz w:val="30"/>
          <w:szCs w:val="30"/>
        </w:rPr>
        <w:t>2.1、实施评价的组织方式采取“现场评价”方式进行评价。</w:t>
      </w:r>
    </w:p>
    <w:p w14:paraId="44F9D9B5">
      <w:pPr>
        <w:widowControl/>
        <w:spacing w:line="360" w:lineRule="auto"/>
        <w:ind w:firstLine="602" w:firstLineChars="200"/>
        <w:rPr>
          <w:rFonts w:hint="eastAsia" w:ascii="宋体" w:hAnsi="宋体" w:eastAsia="宋体" w:cs="宋体"/>
          <w:b/>
          <w:bCs w:val="0"/>
          <w:sz w:val="30"/>
          <w:szCs w:val="30"/>
        </w:rPr>
      </w:pPr>
      <w:r>
        <w:rPr>
          <w:rFonts w:hint="eastAsia" w:ascii="宋体" w:hAnsi="宋体" w:eastAsia="宋体" w:cs="宋体"/>
          <w:b/>
          <w:bCs w:val="0"/>
          <w:sz w:val="30"/>
          <w:szCs w:val="30"/>
        </w:rPr>
        <w:t>2.2、实施评价工作的基本原则。</w:t>
      </w:r>
    </w:p>
    <w:p w14:paraId="3949C413">
      <w:pPr>
        <w:widowControl/>
        <w:spacing w:line="360" w:lineRule="auto"/>
        <w:ind w:firstLine="600" w:firstLineChars="200"/>
        <w:rPr>
          <w:rFonts w:hint="eastAsia" w:ascii="宋体" w:hAnsi="宋体" w:eastAsia="宋体" w:cs="宋体"/>
          <w:b w:val="0"/>
          <w:bCs/>
          <w:sz w:val="30"/>
          <w:szCs w:val="30"/>
        </w:rPr>
      </w:pPr>
      <w:r>
        <w:rPr>
          <w:rFonts w:hint="eastAsia" w:ascii="宋体" w:hAnsi="宋体" w:eastAsia="宋体" w:cs="宋体"/>
          <w:b w:val="0"/>
          <w:bCs/>
          <w:sz w:val="30"/>
          <w:szCs w:val="30"/>
        </w:rPr>
        <w:t>A、坚持独立客观公正原则</w:t>
      </w:r>
    </w:p>
    <w:p w14:paraId="0DC35296">
      <w:pPr>
        <w:widowControl/>
        <w:spacing w:line="360" w:lineRule="auto"/>
        <w:ind w:firstLine="600" w:firstLineChars="200"/>
        <w:rPr>
          <w:rFonts w:hint="eastAsia" w:ascii="宋体" w:hAnsi="宋体" w:eastAsia="宋体" w:cs="宋体"/>
          <w:bCs/>
          <w:sz w:val="30"/>
          <w:szCs w:val="30"/>
        </w:rPr>
      </w:pPr>
      <w:r>
        <w:rPr>
          <w:rFonts w:hint="eastAsia" w:ascii="宋体" w:hAnsi="宋体" w:eastAsia="宋体" w:cs="宋体"/>
          <w:bCs/>
          <w:sz w:val="30"/>
          <w:szCs w:val="30"/>
        </w:rPr>
        <w:t>保证财政支出决策的科学性，保证资金使用的规范性、安全性和有效性，保证绩效评价结果真实性。</w:t>
      </w:r>
    </w:p>
    <w:p w14:paraId="307C81D6">
      <w:pPr>
        <w:widowControl/>
        <w:spacing w:line="360" w:lineRule="auto"/>
        <w:ind w:firstLine="640"/>
        <w:rPr>
          <w:rFonts w:hint="eastAsia" w:ascii="宋体" w:hAnsi="宋体" w:eastAsia="宋体" w:cs="宋体"/>
          <w:b w:val="0"/>
          <w:bCs/>
          <w:sz w:val="30"/>
          <w:szCs w:val="30"/>
        </w:rPr>
      </w:pPr>
      <w:r>
        <w:rPr>
          <w:rFonts w:hint="eastAsia" w:ascii="宋体" w:hAnsi="宋体" w:eastAsia="宋体" w:cs="宋体"/>
          <w:b w:val="0"/>
          <w:bCs/>
          <w:sz w:val="30"/>
          <w:szCs w:val="30"/>
        </w:rPr>
        <w:t>B、坚持定量分析和定性分析相结合的原则</w:t>
      </w:r>
    </w:p>
    <w:p w14:paraId="2EC40B96">
      <w:pPr>
        <w:widowControl/>
        <w:spacing w:line="360" w:lineRule="auto"/>
        <w:ind w:firstLine="640"/>
        <w:rPr>
          <w:rFonts w:hint="eastAsia" w:ascii="宋体" w:hAnsi="宋体" w:eastAsia="宋体" w:cs="宋体"/>
          <w:bCs/>
          <w:sz w:val="30"/>
          <w:szCs w:val="30"/>
        </w:rPr>
      </w:pPr>
      <w:r>
        <w:rPr>
          <w:rFonts w:hint="eastAsia" w:ascii="宋体" w:hAnsi="宋体" w:eastAsia="宋体" w:cs="宋体"/>
          <w:bCs/>
          <w:sz w:val="30"/>
          <w:szCs w:val="30"/>
        </w:rPr>
        <w:t>以定量分析为主，定性分析为辅，定量分析建立在财务数据采集、分析上，定性分析通过对支出的全面综合分析，与定量分析共同评价支出的效果，以更加合理、准确地反映支出的实际绩效。</w:t>
      </w:r>
    </w:p>
    <w:p w14:paraId="3FB93C7F">
      <w:pPr>
        <w:pStyle w:val="11"/>
        <w:spacing w:line="360" w:lineRule="auto"/>
        <w:ind w:firstLine="600" w:firstLineChars="200"/>
        <w:rPr>
          <w:rFonts w:hint="eastAsia" w:ascii="宋体" w:hAnsi="宋体" w:eastAsia="宋体" w:cs="宋体"/>
          <w:b w:val="0"/>
          <w:bCs/>
          <w:kern w:val="2"/>
          <w:sz w:val="30"/>
          <w:szCs w:val="30"/>
        </w:rPr>
      </w:pPr>
      <w:r>
        <w:rPr>
          <w:rFonts w:hint="eastAsia" w:ascii="宋体" w:hAnsi="宋体" w:eastAsia="宋体" w:cs="宋体"/>
          <w:b w:val="0"/>
          <w:bCs/>
          <w:kern w:val="2"/>
          <w:sz w:val="30"/>
          <w:szCs w:val="30"/>
        </w:rPr>
        <w:t>C、一般评价与重点评价相结合原则</w:t>
      </w:r>
    </w:p>
    <w:p w14:paraId="5E277848">
      <w:pPr>
        <w:pStyle w:val="11"/>
        <w:spacing w:line="360" w:lineRule="auto"/>
        <w:ind w:firstLine="602" w:firstLineChars="200"/>
        <w:rPr>
          <w:rFonts w:hint="eastAsia" w:ascii="宋体" w:hAnsi="宋体" w:eastAsia="宋体" w:cs="宋体"/>
          <w:b/>
          <w:bCs w:val="0"/>
          <w:kern w:val="2"/>
          <w:sz w:val="30"/>
          <w:szCs w:val="30"/>
        </w:rPr>
      </w:pPr>
      <w:r>
        <w:rPr>
          <w:rFonts w:hint="eastAsia" w:ascii="宋体" w:hAnsi="宋体" w:eastAsia="宋体" w:cs="宋体"/>
          <w:b/>
          <w:bCs w:val="0"/>
          <w:kern w:val="2"/>
          <w:sz w:val="30"/>
          <w:szCs w:val="30"/>
        </w:rPr>
        <w:t>2.3、实施绩效评价的内容</w:t>
      </w:r>
    </w:p>
    <w:p w14:paraId="6018013F">
      <w:pPr>
        <w:pStyle w:val="11"/>
        <w:spacing w:line="360" w:lineRule="auto"/>
        <w:ind w:firstLine="600" w:firstLineChars="200"/>
        <w:rPr>
          <w:rFonts w:hint="eastAsia" w:ascii="宋体" w:hAnsi="宋体" w:eastAsia="宋体" w:cs="宋体"/>
          <w:bCs/>
          <w:kern w:val="2"/>
          <w:sz w:val="30"/>
          <w:szCs w:val="30"/>
        </w:rPr>
      </w:pPr>
      <w:r>
        <w:rPr>
          <w:rFonts w:hint="eastAsia" w:ascii="宋体" w:hAnsi="宋体" w:eastAsia="宋体" w:cs="宋体"/>
          <w:bCs/>
          <w:kern w:val="2"/>
          <w:sz w:val="30"/>
          <w:szCs w:val="30"/>
        </w:rPr>
        <w:t>围绕制定的绩效目标，对资金的预算、决策、运行、完成及管理情况，按投入目标、管理目标、产出目标、效果目标进行综合评价，具体如下：</w:t>
      </w:r>
    </w:p>
    <w:p w14:paraId="169B064E">
      <w:pPr>
        <w:pStyle w:val="11"/>
        <w:spacing w:line="360" w:lineRule="auto"/>
        <w:ind w:firstLine="600" w:firstLineChars="200"/>
        <w:rPr>
          <w:rFonts w:hint="eastAsia" w:ascii="宋体" w:hAnsi="宋体" w:eastAsia="宋体" w:cs="宋体"/>
          <w:bCs/>
          <w:kern w:val="2"/>
          <w:sz w:val="30"/>
          <w:szCs w:val="30"/>
        </w:rPr>
      </w:pPr>
      <w:r>
        <w:rPr>
          <w:rFonts w:hint="eastAsia" w:ascii="宋体" w:hAnsi="宋体" w:eastAsia="宋体" w:cs="宋体"/>
          <w:bCs/>
          <w:kern w:val="2"/>
          <w:sz w:val="30"/>
          <w:szCs w:val="30"/>
        </w:rPr>
        <w:t>2.3.1、目标设定情况；</w:t>
      </w:r>
    </w:p>
    <w:p w14:paraId="6EF37357">
      <w:pPr>
        <w:pStyle w:val="11"/>
        <w:spacing w:line="360" w:lineRule="auto"/>
        <w:ind w:firstLine="600" w:firstLineChars="200"/>
        <w:rPr>
          <w:rFonts w:hint="eastAsia" w:ascii="宋体" w:hAnsi="宋体" w:eastAsia="宋体" w:cs="宋体"/>
          <w:bCs/>
          <w:kern w:val="2"/>
          <w:sz w:val="30"/>
          <w:szCs w:val="30"/>
        </w:rPr>
      </w:pPr>
      <w:r>
        <w:rPr>
          <w:rFonts w:hint="eastAsia" w:ascii="宋体" w:hAnsi="宋体" w:eastAsia="宋体" w:cs="宋体"/>
          <w:bCs/>
          <w:kern w:val="2"/>
          <w:sz w:val="30"/>
          <w:szCs w:val="30"/>
        </w:rPr>
        <w:t>2.3.2、资金分配、使用、管理情况；</w:t>
      </w:r>
    </w:p>
    <w:p w14:paraId="345B80D6">
      <w:pPr>
        <w:pStyle w:val="11"/>
        <w:spacing w:line="360" w:lineRule="auto"/>
        <w:ind w:firstLine="600" w:firstLineChars="200"/>
        <w:rPr>
          <w:rFonts w:hint="eastAsia" w:ascii="宋体" w:hAnsi="宋体" w:eastAsia="宋体" w:cs="宋体"/>
          <w:bCs/>
          <w:kern w:val="2"/>
          <w:sz w:val="30"/>
          <w:szCs w:val="30"/>
        </w:rPr>
      </w:pPr>
      <w:r>
        <w:rPr>
          <w:rFonts w:hint="eastAsia" w:ascii="宋体" w:hAnsi="宋体" w:eastAsia="宋体" w:cs="宋体"/>
          <w:bCs/>
          <w:kern w:val="2"/>
          <w:sz w:val="30"/>
          <w:szCs w:val="30"/>
        </w:rPr>
        <w:t>2.3.3、制定的制度和措施情况；</w:t>
      </w:r>
    </w:p>
    <w:p w14:paraId="7271C796">
      <w:pPr>
        <w:pStyle w:val="11"/>
        <w:spacing w:line="360" w:lineRule="auto"/>
        <w:ind w:firstLine="600" w:firstLineChars="200"/>
        <w:rPr>
          <w:rFonts w:hint="eastAsia" w:ascii="宋体" w:hAnsi="宋体" w:eastAsia="宋体" w:cs="宋体"/>
          <w:bCs/>
          <w:kern w:val="2"/>
          <w:sz w:val="30"/>
          <w:szCs w:val="30"/>
        </w:rPr>
      </w:pPr>
      <w:r>
        <w:rPr>
          <w:rFonts w:hint="eastAsia" w:ascii="宋体" w:hAnsi="宋体" w:eastAsia="宋体" w:cs="宋体"/>
          <w:bCs/>
          <w:kern w:val="2"/>
          <w:sz w:val="30"/>
          <w:szCs w:val="30"/>
        </w:rPr>
        <w:t>2.3.4、目标完成和资金效益情况。</w:t>
      </w:r>
    </w:p>
    <w:p w14:paraId="2131FC29">
      <w:pPr>
        <w:pStyle w:val="11"/>
        <w:spacing w:line="360" w:lineRule="auto"/>
        <w:ind w:firstLine="602" w:firstLineChars="200"/>
        <w:rPr>
          <w:rFonts w:hint="eastAsia" w:ascii="宋体" w:hAnsi="宋体" w:eastAsia="宋体" w:cs="宋体"/>
          <w:b/>
          <w:bCs w:val="0"/>
          <w:kern w:val="2"/>
          <w:sz w:val="30"/>
          <w:szCs w:val="30"/>
        </w:rPr>
      </w:pPr>
      <w:r>
        <w:rPr>
          <w:rFonts w:hint="eastAsia" w:ascii="宋体" w:hAnsi="宋体" w:eastAsia="宋体" w:cs="宋体"/>
          <w:b/>
          <w:bCs w:val="0"/>
          <w:kern w:val="2"/>
          <w:sz w:val="30"/>
          <w:szCs w:val="30"/>
        </w:rPr>
        <w:t>2.4、分析评价的内容和方法</w:t>
      </w:r>
    </w:p>
    <w:p w14:paraId="08167B39">
      <w:pPr>
        <w:pStyle w:val="11"/>
        <w:spacing w:line="360" w:lineRule="auto"/>
        <w:ind w:firstLine="600" w:firstLineChars="200"/>
        <w:rPr>
          <w:rFonts w:hint="eastAsia" w:ascii="宋体" w:hAnsi="宋体" w:eastAsia="宋体" w:cs="宋体"/>
          <w:bCs/>
          <w:kern w:val="2"/>
          <w:sz w:val="30"/>
          <w:szCs w:val="30"/>
        </w:rPr>
      </w:pPr>
      <w:r>
        <w:rPr>
          <w:rFonts w:hint="eastAsia" w:ascii="宋体" w:hAnsi="宋体" w:eastAsia="宋体" w:cs="宋体"/>
          <w:bCs/>
          <w:kern w:val="2"/>
          <w:sz w:val="30"/>
          <w:szCs w:val="30"/>
        </w:rPr>
        <w:t>2.4.1、评价分析的方法：</w:t>
      </w:r>
    </w:p>
    <w:p w14:paraId="14509192">
      <w:pPr>
        <w:widowControl/>
        <w:spacing w:line="360" w:lineRule="auto"/>
        <w:ind w:firstLine="640"/>
        <w:rPr>
          <w:rFonts w:hint="eastAsia" w:ascii="宋体" w:hAnsi="宋体" w:eastAsia="宋体" w:cs="宋体"/>
          <w:bCs/>
          <w:sz w:val="30"/>
          <w:szCs w:val="30"/>
        </w:rPr>
      </w:pPr>
      <w:r>
        <w:rPr>
          <w:rFonts w:hint="eastAsia" w:ascii="宋体" w:hAnsi="宋体" w:eastAsia="宋体" w:cs="宋体"/>
          <w:bCs/>
          <w:sz w:val="30"/>
          <w:szCs w:val="30"/>
        </w:rPr>
        <w:t>A、成本效益比较法</w:t>
      </w:r>
    </w:p>
    <w:p w14:paraId="1E2265FC">
      <w:pPr>
        <w:widowControl/>
        <w:spacing w:line="360" w:lineRule="auto"/>
        <w:ind w:firstLine="640"/>
        <w:rPr>
          <w:rFonts w:hint="eastAsia" w:ascii="宋体" w:hAnsi="宋体" w:eastAsia="宋体" w:cs="宋体"/>
          <w:bCs/>
          <w:sz w:val="30"/>
          <w:szCs w:val="30"/>
        </w:rPr>
      </w:pPr>
      <w:r>
        <w:rPr>
          <w:rFonts w:hint="eastAsia" w:ascii="宋体" w:hAnsi="宋体" w:eastAsia="宋体" w:cs="宋体"/>
          <w:bCs/>
          <w:sz w:val="30"/>
          <w:szCs w:val="30"/>
        </w:rPr>
        <w:t>针对财政支出确定的目标，在目标效益额相同的情况下，对支出项目中发生的各种正常开支、额外开支和特殊费用等进行比较，以最小成本取得最大效益为优。</w:t>
      </w:r>
    </w:p>
    <w:p w14:paraId="794E752B">
      <w:pPr>
        <w:widowControl/>
        <w:spacing w:line="360" w:lineRule="auto"/>
        <w:ind w:firstLine="640"/>
        <w:rPr>
          <w:rFonts w:hint="eastAsia" w:ascii="宋体" w:hAnsi="宋体" w:eastAsia="宋体" w:cs="宋体"/>
          <w:bCs/>
          <w:sz w:val="30"/>
          <w:szCs w:val="30"/>
        </w:rPr>
      </w:pPr>
      <w:r>
        <w:rPr>
          <w:rFonts w:hint="eastAsia" w:ascii="宋体" w:hAnsi="宋体" w:eastAsia="宋体" w:cs="宋体"/>
          <w:bCs/>
          <w:sz w:val="30"/>
          <w:szCs w:val="30"/>
        </w:rPr>
        <w:t>B、因素分析法</w:t>
      </w:r>
    </w:p>
    <w:p w14:paraId="4DDB45D7">
      <w:pPr>
        <w:widowControl/>
        <w:spacing w:line="360" w:lineRule="auto"/>
        <w:ind w:firstLine="640"/>
        <w:rPr>
          <w:rFonts w:hint="eastAsia" w:ascii="宋体" w:hAnsi="宋体" w:eastAsia="宋体" w:cs="宋体"/>
          <w:bCs/>
          <w:sz w:val="30"/>
          <w:szCs w:val="30"/>
        </w:rPr>
      </w:pPr>
      <w:r>
        <w:rPr>
          <w:rFonts w:hint="eastAsia" w:ascii="宋体" w:hAnsi="宋体" w:eastAsia="宋体" w:cs="宋体"/>
          <w:bCs/>
          <w:sz w:val="30"/>
          <w:szCs w:val="30"/>
        </w:rPr>
        <w:t>通过列举分析所有影响收益及成本的内外因素，综合分析评价支出的合理性、有效性。</w:t>
      </w:r>
    </w:p>
    <w:p w14:paraId="7CDD90C1">
      <w:pPr>
        <w:widowControl/>
        <w:spacing w:line="360" w:lineRule="auto"/>
        <w:ind w:firstLine="640"/>
        <w:rPr>
          <w:rFonts w:hint="eastAsia" w:ascii="宋体" w:hAnsi="宋体" w:eastAsia="宋体" w:cs="宋体"/>
          <w:bCs/>
          <w:sz w:val="30"/>
          <w:szCs w:val="30"/>
        </w:rPr>
      </w:pPr>
      <w:r>
        <w:rPr>
          <w:rFonts w:hint="eastAsia" w:ascii="宋体" w:hAnsi="宋体" w:eastAsia="宋体" w:cs="宋体"/>
          <w:bCs/>
          <w:sz w:val="30"/>
          <w:szCs w:val="30"/>
        </w:rPr>
        <w:t>C、目标预定与实施效果比较法</w:t>
      </w:r>
    </w:p>
    <w:p w14:paraId="3DB4EABF">
      <w:pPr>
        <w:widowControl/>
        <w:spacing w:line="360" w:lineRule="auto"/>
        <w:ind w:firstLine="640"/>
        <w:rPr>
          <w:rFonts w:hint="eastAsia" w:ascii="宋体" w:hAnsi="宋体" w:eastAsia="宋体" w:cs="宋体"/>
          <w:bCs/>
          <w:sz w:val="30"/>
          <w:szCs w:val="30"/>
        </w:rPr>
      </w:pPr>
      <w:r>
        <w:rPr>
          <w:rFonts w:hint="eastAsia" w:ascii="宋体" w:hAnsi="宋体" w:eastAsia="宋体" w:cs="宋体"/>
          <w:bCs/>
          <w:sz w:val="30"/>
          <w:szCs w:val="30"/>
        </w:rPr>
        <w:t>通过比较财政支出所产生的实际结果与预定的目标，分析完成或未完成目标的因素，从而评价财政支出绩效。</w:t>
      </w:r>
    </w:p>
    <w:p w14:paraId="309D9CB5">
      <w:pPr>
        <w:widowControl/>
        <w:spacing w:line="360" w:lineRule="auto"/>
        <w:ind w:firstLine="640"/>
        <w:rPr>
          <w:rFonts w:hint="eastAsia" w:ascii="宋体" w:hAnsi="宋体" w:eastAsia="宋体" w:cs="宋体"/>
          <w:bCs/>
          <w:sz w:val="30"/>
          <w:szCs w:val="30"/>
        </w:rPr>
      </w:pPr>
      <w:r>
        <w:rPr>
          <w:rFonts w:hint="eastAsia" w:ascii="宋体" w:hAnsi="宋体" w:eastAsia="宋体" w:cs="宋体"/>
          <w:bCs/>
          <w:sz w:val="30"/>
          <w:szCs w:val="30"/>
        </w:rPr>
        <w:t>D、公众评判法</w:t>
      </w:r>
    </w:p>
    <w:p w14:paraId="42A0277F">
      <w:pPr>
        <w:widowControl/>
        <w:spacing w:line="360" w:lineRule="auto"/>
        <w:ind w:firstLine="640"/>
        <w:rPr>
          <w:rFonts w:hint="eastAsia" w:ascii="宋体" w:hAnsi="宋体" w:eastAsia="宋体" w:cs="宋体"/>
          <w:bCs/>
          <w:sz w:val="30"/>
          <w:szCs w:val="30"/>
        </w:rPr>
      </w:pPr>
      <w:r>
        <w:rPr>
          <w:rFonts w:hint="eastAsia" w:ascii="宋体" w:hAnsi="宋体" w:eastAsia="宋体" w:cs="宋体"/>
          <w:bCs/>
          <w:sz w:val="30"/>
          <w:szCs w:val="30"/>
        </w:rPr>
        <w:t>通过专家评估、公众问卷调查及抽样调查等对预算支出效果进行评判。</w:t>
      </w:r>
    </w:p>
    <w:p w14:paraId="4BCEE9D8">
      <w:pPr>
        <w:widowControl/>
        <w:numPr>
          <w:ilvl w:val="0"/>
          <w:numId w:val="2"/>
        </w:numPr>
        <w:spacing w:line="360" w:lineRule="auto"/>
        <w:ind w:firstLine="640"/>
        <w:rPr>
          <w:rFonts w:hint="eastAsia" w:ascii="宋体" w:hAnsi="宋体" w:eastAsia="宋体" w:cs="宋体"/>
          <w:bCs/>
          <w:sz w:val="30"/>
          <w:szCs w:val="30"/>
        </w:rPr>
      </w:pPr>
      <w:r>
        <w:rPr>
          <w:rFonts w:hint="eastAsia" w:ascii="宋体" w:hAnsi="宋体" w:eastAsia="宋体" w:cs="宋体"/>
          <w:bCs/>
          <w:sz w:val="30"/>
          <w:szCs w:val="30"/>
        </w:rPr>
        <w:t>自查自评与现场再评价相结合</w:t>
      </w:r>
    </w:p>
    <w:p w14:paraId="11F97034">
      <w:pPr>
        <w:widowControl/>
        <w:numPr>
          <w:ilvl w:val="0"/>
          <w:numId w:val="2"/>
        </w:numPr>
        <w:spacing w:line="360" w:lineRule="auto"/>
        <w:ind w:firstLine="640"/>
        <w:rPr>
          <w:rFonts w:hint="eastAsia" w:ascii="宋体" w:hAnsi="宋体" w:eastAsia="宋体" w:cs="宋体"/>
          <w:bCs/>
          <w:sz w:val="30"/>
          <w:szCs w:val="30"/>
        </w:rPr>
      </w:pPr>
      <w:r>
        <w:rPr>
          <w:rFonts w:hint="eastAsia" w:ascii="宋体" w:hAnsi="宋体" w:eastAsia="宋体" w:cs="宋体"/>
          <w:bCs/>
          <w:sz w:val="30"/>
          <w:szCs w:val="30"/>
        </w:rPr>
        <w:t>抽查与综合评价相结合。</w:t>
      </w:r>
    </w:p>
    <w:p w14:paraId="76123AF5">
      <w:pPr>
        <w:widowControl/>
        <w:spacing w:line="360" w:lineRule="auto"/>
        <w:ind w:firstLine="640"/>
        <w:rPr>
          <w:rFonts w:hint="eastAsia" w:ascii="宋体" w:hAnsi="宋体" w:eastAsia="宋体" w:cs="宋体"/>
          <w:bCs/>
          <w:sz w:val="30"/>
          <w:szCs w:val="30"/>
        </w:rPr>
      </w:pPr>
      <w:r>
        <w:rPr>
          <w:rFonts w:hint="eastAsia" w:ascii="宋体" w:hAnsi="宋体" w:eastAsia="宋体" w:cs="宋体"/>
          <w:bCs/>
          <w:sz w:val="30"/>
          <w:szCs w:val="30"/>
        </w:rPr>
        <w:t>绩效评价方法选用坚持定量优先、简便有效的原则，根据评价对象的具体情况，可采用一种或多种方法进行评价。</w:t>
      </w:r>
    </w:p>
    <w:p w14:paraId="20D491B6">
      <w:pPr>
        <w:pStyle w:val="11"/>
        <w:spacing w:line="360" w:lineRule="auto"/>
        <w:rPr>
          <w:rFonts w:hint="eastAsia" w:ascii="宋体" w:hAnsi="宋体" w:eastAsia="宋体" w:cs="宋体"/>
          <w:bCs/>
          <w:kern w:val="2"/>
          <w:sz w:val="30"/>
          <w:szCs w:val="30"/>
        </w:rPr>
      </w:pPr>
      <w:r>
        <w:rPr>
          <w:rFonts w:hint="eastAsia" w:ascii="宋体" w:hAnsi="宋体" w:eastAsia="宋体" w:cs="宋体"/>
          <w:bCs/>
          <w:kern w:val="2"/>
          <w:sz w:val="30"/>
          <w:szCs w:val="30"/>
        </w:rPr>
        <w:t xml:space="preserve">     2.4.2、分析评价的内容：</w:t>
      </w:r>
    </w:p>
    <w:p w14:paraId="3E9E64A6">
      <w:pPr>
        <w:pStyle w:val="11"/>
        <w:spacing w:line="360" w:lineRule="auto"/>
        <w:ind w:firstLine="600" w:firstLineChars="200"/>
        <w:rPr>
          <w:rFonts w:hint="eastAsia" w:ascii="宋体" w:hAnsi="宋体" w:eastAsia="宋体" w:cs="宋体"/>
          <w:bCs/>
          <w:kern w:val="2"/>
          <w:sz w:val="30"/>
          <w:szCs w:val="30"/>
        </w:rPr>
      </w:pPr>
      <w:r>
        <w:rPr>
          <w:rFonts w:hint="eastAsia" w:ascii="宋体" w:hAnsi="宋体" w:eastAsia="宋体" w:cs="宋体"/>
          <w:bCs/>
          <w:kern w:val="2"/>
          <w:sz w:val="30"/>
          <w:szCs w:val="30"/>
        </w:rPr>
        <w:t>A、核实数据。全面核对收入支出情况，核实</w:t>
      </w:r>
      <w:r>
        <w:rPr>
          <w:rFonts w:hint="eastAsia" w:ascii="宋体" w:hAnsi="宋体" w:eastAsia="宋体" w:cs="宋体"/>
          <w:bCs/>
          <w:kern w:val="2"/>
          <w:sz w:val="30"/>
          <w:szCs w:val="30"/>
          <w:lang w:eastAsia="zh-CN"/>
        </w:rPr>
        <w:t>2023年</w:t>
      </w:r>
      <w:r>
        <w:rPr>
          <w:rFonts w:hint="eastAsia" w:ascii="宋体" w:hAnsi="宋体" w:eastAsia="宋体" w:cs="宋体"/>
          <w:bCs/>
          <w:kern w:val="2"/>
          <w:sz w:val="30"/>
          <w:szCs w:val="30"/>
        </w:rPr>
        <w:t>度部门整体支出数据的准确性、真实性，并进行比较分析。</w:t>
      </w:r>
    </w:p>
    <w:p w14:paraId="0BE5D7E5">
      <w:pPr>
        <w:pStyle w:val="11"/>
        <w:spacing w:line="360" w:lineRule="auto"/>
        <w:ind w:firstLine="600" w:firstLineChars="200"/>
        <w:rPr>
          <w:rFonts w:hint="eastAsia" w:ascii="宋体" w:hAnsi="宋体" w:eastAsia="宋体" w:cs="宋体"/>
          <w:bCs/>
          <w:kern w:val="2"/>
          <w:sz w:val="30"/>
          <w:szCs w:val="30"/>
        </w:rPr>
      </w:pPr>
      <w:r>
        <w:rPr>
          <w:rFonts w:hint="eastAsia" w:ascii="宋体" w:hAnsi="宋体" w:eastAsia="宋体" w:cs="宋体"/>
          <w:bCs/>
          <w:kern w:val="2"/>
          <w:sz w:val="30"/>
          <w:szCs w:val="30"/>
        </w:rPr>
        <w:t>B、查阅资料。翻阅记账凭证、账本、会计报表、文件、会议记录，复制重要资料形成纸质和电子文档，查阅</w:t>
      </w:r>
      <w:r>
        <w:rPr>
          <w:rFonts w:hint="eastAsia" w:ascii="宋体" w:hAnsi="宋体" w:eastAsia="宋体" w:cs="宋体"/>
          <w:bCs/>
          <w:kern w:val="2"/>
          <w:sz w:val="30"/>
          <w:szCs w:val="30"/>
          <w:lang w:eastAsia="zh-CN"/>
        </w:rPr>
        <w:t>2023年</w:t>
      </w:r>
      <w:r>
        <w:rPr>
          <w:rFonts w:hint="eastAsia" w:ascii="宋体" w:hAnsi="宋体" w:eastAsia="宋体" w:cs="宋体"/>
          <w:bCs/>
          <w:kern w:val="2"/>
          <w:sz w:val="30"/>
          <w:szCs w:val="30"/>
        </w:rPr>
        <w:t>度预算安排、非税收入、预算追加、资金管理、经费支出、资产管理等相关文件资料和财务凭证，了解项目基本情况、发生时间、申报数据、预算、决算、验收、造价等情况，是否为其他部门项目或以前年度项目，形成绩效评价工作底稿。</w:t>
      </w:r>
    </w:p>
    <w:p w14:paraId="4EE35463">
      <w:pPr>
        <w:pStyle w:val="11"/>
        <w:spacing w:line="360" w:lineRule="auto"/>
        <w:ind w:firstLine="600" w:firstLineChars="200"/>
        <w:rPr>
          <w:rFonts w:hint="eastAsia" w:ascii="宋体" w:hAnsi="宋体" w:eastAsia="宋体" w:cs="宋体"/>
          <w:bCs/>
          <w:kern w:val="2"/>
          <w:sz w:val="30"/>
          <w:szCs w:val="30"/>
        </w:rPr>
      </w:pPr>
      <w:r>
        <w:rPr>
          <w:rFonts w:hint="eastAsia" w:ascii="宋体" w:hAnsi="宋体" w:eastAsia="宋体" w:cs="宋体"/>
          <w:bCs/>
          <w:kern w:val="2"/>
          <w:sz w:val="30"/>
          <w:szCs w:val="30"/>
        </w:rPr>
        <w:t>C、听取相关情况介绍，实地查看。现场查看实物资产和项目实施情况，与账面进行比较分析。</w:t>
      </w:r>
    </w:p>
    <w:p w14:paraId="1945175C">
      <w:pPr>
        <w:pStyle w:val="11"/>
        <w:spacing w:line="360" w:lineRule="auto"/>
        <w:ind w:firstLine="600" w:firstLineChars="200"/>
        <w:rPr>
          <w:rFonts w:hint="eastAsia" w:ascii="宋体" w:hAnsi="宋体" w:eastAsia="宋体" w:cs="宋体"/>
          <w:bCs/>
          <w:color w:val="2529FD"/>
          <w:kern w:val="2"/>
          <w:sz w:val="30"/>
          <w:szCs w:val="30"/>
          <w:highlight w:val="none"/>
        </w:rPr>
      </w:pPr>
      <w:r>
        <w:rPr>
          <w:rFonts w:hint="eastAsia" w:ascii="宋体" w:hAnsi="宋体" w:eastAsia="宋体" w:cs="宋体"/>
          <w:bCs/>
          <w:kern w:val="2"/>
          <w:sz w:val="30"/>
          <w:szCs w:val="30"/>
        </w:rPr>
        <w:t>D、问卷调查。对部门履行职责情况的公众满意度发放问卷20份，进行现场调查问卷，统计</w:t>
      </w:r>
      <w:r>
        <w:rPr>
          <w:rFonts w:hint="eastAsia" w:ascii="宋体" w:hAnsi="宋体" w:eastAsia="宋体" w:cs="宋体"/>
          <w:bCs/>
          <w:color w:val="000000" w:themeColor="text1"/>
          <w:kern w:val="2"/>
          <w:sz w:val="30"/>
          <w:szCs w:val="30"/>
        </w:rPr>
        <w:t>平</w:t>
      </w:r>
      <w:r>
        <w:rPr>
          <w:rFonts w:hint="eastAsia" w:ascii="宋体" w:hAnsi="宋体" w:eastAsia="宋体" w:cs="宋体"/>
          <w:bCs/>
          <w:color w:val="000000" w:themeColor="text1"/>
          <w:kern w:val="2"/>
          <w:sz w:val="30"/>
          <w:szCs w:val="30"/>
          <w:highlight w:val="none"/>
        </w:rPr>
        <w:t>均分值为</w:t>
      </w:r>
      <w:r>
        <w:rPr>
          <w:rFonts w:hint="eastAsia" w:ascii="宋体" w:hAnsi="宋体" w:eastAsia="宋体" w:cs="宋体"/>
          <w:bCs/>
          <w:color w:val="000000" w:themeColor="text1"/>
          <w:kern w:val="2"/>
          <w:sz w:val="30"/>
          <w:szCs w:val="30"/>
          <w:highlight w:val="none"/>
          <w:lang w:val="en-US" w:eastAsia="zh-CN"/>
        </w:rPr>
        <w:t>96.65</w:t>
      </w:r>
      <w:r>
        <w:rPr>
          <w:rFonts w:hint="eastAsia" w:ascii="宋体" w:hAnsi="宋体" w:eastAsia="宋体" w:cs="宋体"/>
          <w:bCs/>
          <w:color w:val="000000" w:themeColor="text1"/>
          <w:kern w:val="2"/>
          <w:sz w:val="30"/>
          <w:szCs w:val="30"/>
          <w:highlight w:val="none"/>
        </w:rPr>
        <w:t>分。</w:t>
      </w:r>
    </w:p>
    <w:p w14:paraId="7305EEBE">
      <w:pPr>
        <w:pStyle w:val="11"/>
        <w:spacing w:line="360" w:lineRule="auto"/>
        <w:ind w:firstLine="600" w:firstLineChars="200"/>
        <w:rPr>
          <w:rFonts w:hint="eastAsia" w:ascii="宋体" w:hAnsi="宋体" w:eastAsia="宋体" w:cs="宋体"/>
          <w:bCs/>
          <w:kern w:val="2"/>
          <w:sz w:val="30"/>
          <w:szCs w:val="30"/>
        </w:rPr>
      </w:pPr>
      <w:r>
        <w:rPr>
          <w:rFonts w:hint="eastAsia" w:ascii="宋体" w:hAnsi="宋体" w:eastAsia="宋体" w:cs="宋体"/>
          <w:bCs/>
          <w:kern w:val="2"/>
          <w:sz w:val="30"/>
          <w:szCs w:val="30"/>
        </w:rPr>
        <w:t>E、综合分析。归纳汇总提供的材料及自评报告，结合现场调查情况进行综合分析。</w:t>
      </w:r>
    </w:p>
    <w:p w14:paraId="587F1AC1">
      <w:pPr>
        <w:pStyle w:val="11"/>
        <w:spacing w:line="360" w:lineRule="auto"/>
        <w:ind w:firstLine="600" w:firstLineChars="200"/>
        <w:rPr>
          <w:rFonts w:hint="eastAsia" w:ascii="宋体" w:hAnsi="宋体" w:eastAsia="宋体" w:cs="宋体"/>
          <w:bCs/>
          <w:kern w:val="2"/>
          <w:sz w:val="30"/>
          <w:szCs w:val="30"/>
        </w:rPr>
      </w:pPr>
      <w:r>
        <w:rPr>
          <w:rFonts w:hint="eastAsia" w:ascii="宋体" w:hAnsi="宋体" w:eastAsia="宋体" w:cs="宋体"/>
          <w:bCs/>
          <w:kern w:val="2"/>
          <w:sz w:val="30"/>
          <w:szCs w:val="30"/>
        </w:rPr>
        <w:t>F、撰写评价报告。评价组根据现场评价、调查问卷和资料汇总情况对各项评价指标进行评价和打分，形成绩效评价报告初步意见，征求各方意见，对反馈及沟通书面意见进行汇总经局领导审查后形成整体支出绩效评价自评报告。包含电子版、纸质材料及附件。</w:t>
      </w:r>
    </w:p>
    <w:p w14:paraId="5BAF28AC">
      <w:pPr>
        <w:spacing w:line="360" w:lineRule="auto"/>
        <w:rPr>
          <w:rFonts w:hint="eastAsia" w:ascii="宋体" w:hAnsi="宋体" w:eastAsia="宋体" w:cs="宋体"/>
          <w:b/>
          <w:bCs/>
          <w:sz w:val="30"/>
          <w:szCs w:val="30"/>
        </w:rPr>
      </w:pPr>
      <w:r>
        <w:rPr>
          <w:rFonts w:hint="eastAsia" w:ascii="宋体" w:hAnsi="宋体" w:eastAsia="宋体" w:cs="宋体"/>
          <w:b/>
          <w:bCs/>
          <w:sz w:val="30"/>
          <w:szCs w:val="30"/>
        </w:rPr>
        <w:t xml:space="preserve"> </w:t>
      </w: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rPr>
        <w:t>3、自评结果</w:t>
      </w:r>
    </w:p>
    <w:p w14:paraId="0035C965">
      <w:pPr>
        <w:pStyle w:val="11"/>
        <w:spacing w:line="360" w:lineRule="auto"/>
        <w:ind w:firstLine="602" w:firstLineChars="200"/>
        <w:rPr>
          <w:rFonts w:hint="eastAsia" w:ascii="宋体" w:hAnsi="宋体" w:eastAsia="宋体" w:cs="宋体"/>
          <w:b/>
          <w:kern w:val="2"/>
          <w:sz w:val="30"/>
          <w:szCs w:val="30"/>
        </w:rPr>
      </w:pPr>
      <w:r>
        <w:rPr>
          <w:rFonts w:hint="eastAsia" w:ascii="宋体" w:hAnsi="宋体" w:eastAsia="宋体" w:cs="宋体"/>
          <w:b/>
          <w:kern w:val="2"/>
          <w:sz w:val="30"/>
          <w:szCs w:val="30"/>
        </w:rPr>
        <w:t>我局基本支出预算保障了机关日常正常运转，项目支出预算认真履行好部门职能职责，充分发挥了项目资金的作用，圆满完成了县委、县政府下达的各项业务目标任务。</w:t>
      </w:r>
    </w:p>
    <w:p w14:paraId="4063874D">
      <w:pPr>
        <w:pStyle w:val="11"/>
        <w:spacing w:line="360" w:lineRule="auto"/>
        <w:ind w:firstLine="602" w:firstLineChars="200"/>
        <w:rPr>
          <w:rFonts w:hint="eastAsia" w:ascii="宋体" w:hAnsi="宋体" w:eastAsia="宋体" w:cs="宋体"/>
          <w:b/>
          <w:color w:val="0000FF"/>
          <w:kern w:val="2"/>
          <w:sz w:val="30"/>
          <w:szCs w:val="30"/>
        </w:rPr>
      </w:pPr>
      <w:r>
        <w:rPr>
          <w:rFonts w:hint="eastAsia" w:ascii="宋体" w:hAnsi="宋体" w:eastAsia="宋体" w:cs="宋体"/>
          <w:b/>
          <w:kern w:val="2"/>
          <w:sz w:val="30"/>
          <w:szCs w:val="30"/>
        </w:rPr>
        <w:t>根据《部门整体支出绩效评价指标》确定的内容及评分标准，经评价组综合分析讨论评分，我局</w:t>
      </w:r>
      <w:r>
        <w:rPr>
          <w:rFonts w:hint="eastAsia" w:ascii="宋体" w:hAnsi="宋体" w:eastAsia="宋体" w:cs="宋体"/>
          <w:b/>
          <w:kern w:val="2"/>
          <w:sz w:val="30"/>
          <w:szCs w:val="30"/>
          <w:lang w:eastAsia="zh-CN"/>
        </w:rPr>
        <w:t>2023年</w:t>
      </w:r>
      <w:r>
        <w:rPr>
          <w:rFonts w:hint="eastAsia" w:ascii="宋体" w:hAnsi="宋体" w:eastAsia="宋体" w:cs="宋体"/>
          <w:b/>
          <w:kern w:val="2"/>
          <w:sz w:val="30"/>
          <w:szCs w:val="30"/>
        </w:rPr>
        <w:t>度部门整体支出绩效评价评价指标表评分情况</w:t>
      </w:r>
      <w:r>
        <w:rPr>
          <w:rFonts w:hint="eastAsia" w:ascii="宋体" w:hAnsi="宋体" w:eastAsia="宋体" w:cs="宋体"/>
          <w:b/>
          <w:color w:val="000000" w:themeColor="text1"/>
          <w:kern w:val="2"/>
          <w:sz w:val="30"/>
          <w:szCs w:val="30"/>
        </w:rPr>
        <w:t>：</w:t>
      </w:r>
      <w:r>
        <w:rPr>
          <w:rFonts w:hint="eastAsia" w:ascii="宋体" w:hAnsi="宋体" w:eastAsia="宋体" w:cs="宋体"/>
          <w:b/>
          <w:color w:val="000000" w:themeColor="text1"/>
          <w:kern w:val="2"/>
          <w:sz w:val="30"/>
          <w:szCs w:val="30"/>
          <w:highlight w:val="none"/>
        </w:rPr>
        <w:t>分值</w:t>
      </w:r>
      <w:r>
        <w:rPr>
          <w:rFonts w:hint="eastAsia" w:ascii="宋体" w:hAnsi="宋体" w:eastAsia="宋体" w:cs="宋体"/>
          <w:b/>
          <w:color w:val="000000" w:themeColor="text1"/>
          <w:kern w:val="2"/>
          <w:sz w:val="30"/>
          <w:szCs w:val="30"/>
          <w:highlight w:val="none"/>
          <w:lang w:eastAsia="zh-CN"/>
        </w:rPr>
        <w:t>100分</w:t>
      </w:r>
      <w:r>
        <w:rPr>
          <w:rFonts w:hint="eastAsia" w:ascii="宋体" w:hAnsi="宋体" w:eastAsia="宋体" w:cs="宋体"/>
          <w:b/>
          <w:kern w:val="2"/>
          <w:sz w:val="30"/>
          <w:szCs w:val="30"/>
        </w:rPr>
        <w:t>，财政支出绩效等级为“优秀”。（绩效评价指标表附后）</w:t>
      </w:r>
      <w:r>
        <w:rPr>
          <w:rFonts w:hint="eastAsia" w:ascii="宋体" w:hAnsi="宋体" w:eastAsia="宋体" w:cs="宋体"/>
          <w:b/>
          <w:color w:val="0000FF"/>
          <w:kern w:val="2"/>
          <w:sz w:val="30"/>
          <w:szCs w:val="30"/>
        </w:rPr>
        <w:t>。</w:t>
      </w:r>
    </w:p>
    <w:p w14:paraId="67760251">
      <w:pPr>
        <w:spacing w:line="360" w:lineRule="auto"/>
        <w:ind w:firstLine="602" w:firstLineChars="200"/>
        <w:rPr>
          <w:rFonts w:hint="eastAsia" w:ascii="宋体" w:hAnsi="宋体" w:eastAsia="宋体" w:cs="宋体"/>
          <w:b/>
          <w:bCs w:val="0"/>
          <w:color w:val="000000" w:themeColor="text1"/>
          <w:kern w:val="0"/>
          <w:sz w:val="30"/>
          <w:szCs w:val="30"/>
          <w:lang w:eastAsia="zh-CN"/>
        </w:rPr>
      </w:pPr>
      <w:r>
        <w:rPr>
          <w:rFonts w:hint="eastAsia" w:ascii="宋体" w:hAnsi="宋体" w:eastAsia="宋体" w:cs="宋体"/>
          <w:b/>
          <w:bCs w:val="0"/>
          <w:color w:val="000000" w:themeColor="text1"/>
          <w:kern w:val="0"/>
          <w:sz w:val="30"/>
          <w:szCs w:val="30"/>
        </w:rPr>
        <w:t>六、存在的主要问题</w:t>
      </w:r>
      <w:r>
        <w:rPr>
          <w:rFonts w:hint="eastAsia" w:ascii="宋体" w:hAnsi="宋体" w:eastAsia="宋体" w:cs="宋体"/>
          <w:b/>
          <w:bCs w:val="0"/>
          <w:color w:val="000000" w:themeColor="text1"/>
          <w:kern w:val="0"/>
          <w:sz w:val="30"/>
          <w:szCs w:val="30"/>
          <w:lang w:eastAsia="zh-CN"/>
        </w:rPr>
        <w:t>和困难</w:t>
      </w:r>
    </w:p>
    <w:p w14:paraId="1BFDF25A">
      <w:pPr>
        <w:spacing w:line="360" w:lineRule="auto"/>
        <w:ind w:firstLine="301" w:firstLineChars="100"/>
        <w:rPr>
          <w:rFonts w:hint="eastAsia" w:ascii="宋体" w:hAnsi="宋体" w:eastAsia="宋体" w:cs="宋体"/>
          <w:b/>
          <w:sz w:val="30"/>
          <w:szCs w:val="30"/>
        </w:rPr>
      </w:pPr>
      <w:r>
        <w:rPr>
          <w:rFonts w:hint="eastAsia" w:ascii="宋体" w:hAnsi="宋体" w:eastAsia="宋体" w:cs="宋体"/>
          <w:b/>
          <w:color w:val="000000" w:themeColor="text1"/>
          <w:sz w:val="30"/>
          <w:szCs w:val="30"/>
        </w:rPr>
        <w:t>（一）</w:t>
      </w:r>
      <w:r>
        <w:rPr>
          <w:rFonts w:hint="eastAsia" w:ascii="宋体" w:hAnsi="宋体" w:eastAsia="宋体" w:cs="宋体"/>
          <w:b/>
          <w:color w:val="000000" w:themeColor="text1"/>
          <w:sz w:val="30"/>
          <w:szCs w:val="30"/>
          <w:lang w:eastAsia="zh-CN"/>
        </w:rPr>
        <w:t>项目建设需要大量资金，</w:t>
      </w:r>
      <w:r>
        <w:rPr>
          <w:rFonts w:hint="eastAsia" w:ascii="宋体" w:hAnsi="宋体" w:eastAsia="宋体" w:cs="宋体"/>
          <w:b/>
          <w:color w:val="000000" w:themeColor="text1"/>
          <w:sz w:val="30"/>
          <w:szCs w:val="30"/>
        </w:rPr>
        <w:t>县乡资金压力较大</w:t>
      </w:r>
      <w:r>
        <w:rPr>
          <w:rFonts w:hint="eastAsia" w:ascii="宋体" w:hAnsi="宋体" w:eastAsia="宋体" w:cs="宋体"/>
          <w:b/>
          <w:sz w:val="30"/>
          <w:szCs w:val="30"/>
        </w:rPr>
        <w:t>。</w:t>
      </w:r>
    </w:p>
    <w:p w14:paraId="3DC92347">
      <w:pPr>
        <w:spacing w:line="360" w:lineRule="auto"/>
        <w:ind w:firstLine="600" w:firstLineChars="200"/>
        <w:rPr>
          <w:rFonts w:hint="eastAsia" w:ascii="宋体" w:hAnsi="宋体" w:eastAsia="宋体" w:cs="宋体"/>
          <w:spacing w:val="15"/>
          <w:sz w:val="30"/>
          <w:szCs w:val="30"/>
          <w:shd w:val="clear" w:color="auto" w:fill="FFFFFF"/>
        </w:rPr>
      </w:pPr>
      <w:r>
        <w:rPr>
          <w:rFonts w:hint="eastAsia" w:ascii="宋体" w:hAnsi="宋体" w:eastAsia="宋体" w:cs="宋体"/>
          <w:sz w:val="30"/>
          <w:szCs w:val="30"/>
        </w:rPr>
        <w:t>国家对政府类融资平台的风险管控越来越严，县、乡自身财力有限，资金筹措渠道单一，用于农村公共基础设施建设、污水管网改造、垃圾和污水处理等经费压力大</w:t>
      </w:r>
      <w:r>
        <w:rPr>
          <w:rFonts w:hint="eastAsia" w:ascii="宋体" w:hAnsi="宋体" w:eastAsia="宋体" w:cs="宋体"/>
          <w:sz w:val="30"/>
          <w:szCs w:val="30"/>
          <w:lang w:eastAsia="zh-CN"/>
        </w:rPr>
        <w:t>；</w:t>
      </w:r>
      <w:r>
        <w:rPr>
          <w:rFonts w:hint="eastAsia" w:ascii="宋体" w:hAnsi="宋体" w:eastAsia="宋体" w:cs="宋体"/>
          <w:sz w:val="30"/>
          <w:szCs w:val="30"/>
        </w:rPr>
        <w:t>垃圾中转站建设标准不高，农村垃圾处理硬件设施投入不足。</w:t>
      </w:r>
      <w:r>
        <w:rPr>
          <w:rFonts w:hint="eastAsia" w:ascii="宋体" w:hAnsi="宋体" w:eastAsia="宋体" w:cs="宋体"/>
          <w:sz w:val="30"/>
          <w:szCs w:val="30"/>
          <w:shd w:val="clear" w:color="auto" w:fill="FFFFFF"/>
        </w:rPr>
        <w:t>争取获得城市燃气管道等老化更新改造专项中央预算内资金，</w:t>
      </w:r>
      <w:r>
        <w:rPr>
          <w:rFonts w:hint="eastAsia" w:ascii="宋体" w:hAnsi="宋体" w:eastAsia="宋体" w:cs="宋体"/>
          <w:spacing w:val="15"/>
          <w:sz w:val="30"/>
          <w:szCs w:val="30"/>
          <w:shd w:val="clear" w:color="auto" w:fill="FFFFFF"/>
        </w:rPr>
        <w:t>加装户内燃气安全装置，加装燃气连锁报警控制装置，升级改造燃气管道，更换燃气橡胶软管，有效降低居民用户家中燃气安全事故风险。</w:t>
      </w:r>
    </w:p>
    <w:p w14:paraId="4415B8E2">
      <w:pPr>
        <w:numPr>
          <w:ilvl w:val="0"/>
          <w:numId w:val="3"/>
        </w:numPr>
        <w:spacing w:line="360" w:lineRule="auto"/>
        <w:ind w:firstLine="602" w:firstLineChars="200"/>
        <w:rPr>
          <w:rFonts w:hint="eastAsia" w:ascii="宋体" w:hAnsi="宋体" w:eastAsia="宋体" w:cs="宋体"/>
          <w:b/>
          <w:sz w:val="30"/>
          <w:szCs w:val="30"/>
        </w:rPr>
      </w:pPr>
      <w:r>
        <w:rPr>
          <w:rFonts w:hint="eastAsia" w:ascii="宋体" w:hAnsi="宋体" w:eastAsia="宋体" w:cs="宋体"/>
          <w:b/>
          <w:sz w:val="30"/>
          <w:szCs w:val="30"/>
          <w:lang w:eastAsia="zh-CN"/>
        </w:rPr>
        <w:t>部分</w:t>
      </w:r>
      <w:r>
        <w:rPr>
          <w:rFonts w:hint="eastAsia" w:ascii="宋体" w:hAnsi="宋体" w:eastAsia="宋体" w:cs="宋体"/>
          <w:b/>
          <w:sz w:val="30"/>
          <w:szCs w:val="30"/>
        </w:rPr>
        <w:t>项目建设推进</w:t>
      </w:r>
      <w:r>
        <w:rPr>
          <w:rFonts w:hint="eastAsia" w:ascii="宋体" w:hAnsi="宋体" w:eastAsia="宋体" w:cs="宋体"/>
          <w:b/>
          <w:sz w:val="30"/>
          <w:szCs w:val="30"/>
          <w:lang w:eastAsia="zh-CN"/>
        </w:rPr>
        <w:t>较</w:t>
      </w:r>
      <w:r>
        <w:rPr>
          <w:rFonts w:hint="eastAsia" w:ascii="宋体" w:hAnsi="宋体" w:eastAsia="宋体" w:cs="宋体"/>
          <w:b/>
          <w:sz w:val="30"/>
          <w:szCs w:val="30"/>
        </w:rPr>
        <w:t>困难</w:t>
      </w:r>
      <w:r>
        <w:rPr>
          <w:rFonts w:hint="eastAsia" w:ascii="宋体" w:hAnsi="宋体" w:eastAsia="宋体" w:cs="宋体"/>
          <w:b/>
          <w:sz w:val="30"/>
          <w:szCs w:val="30"/>
          <w:lang w:eastAsia="zh-CN"/>
        </w:rPr>
        <w:t>，</w:t>
      </w:r>
      <w:r>
        <w:rPr>
          <w:rFonts w:hint="eastAsia" w:ascii="宋体" w:hAnsi="宋体" w:eastAsia="宋体" w:cs="宋体"/>
          <w:b/>
          <w:sz w:val="30"/>
          <w:szCs w:val="30"/>
        </w:rPr>
        <w:t>影响了我县部分项目的如期推进。</w:t>
      </w:r>
    </w:p>
    <w:p w14:paraId="21FF290C">
      <w:pPr>
        <w:numPr>
          <w:ilvl w:val="0"/>
          <w:numId w:val="0"/>
        </w:numPr>
        <w:spacing w:line="360" w:lineRule="auto"/>
        <w:ind w:firstLine="600" w:firstLineChars="200"/>
        <w:rPr>
          <w:rFonts w:hint="eastAsia" w:ascii="宋体" w:hAnsi="宋体" w:eastAsia="宋体" w:cs="宋体"/>
          <w:sz w:val="30"/>
          <w:szCs w:val="30"/>
          <w:lang w:eastAsia="zh-CN"/>
        </w:rPr>
      </w:pPr>
      <w:r>
        <w:rPr>
          <w:rFonts w:hint="eastAsia" w:ascii="宋体" w:hAnsi="宋体" w:eastAsia="宋体" w:cs="宋体"/>
          <w:sz w:val="30"/>
          <w:szCs w:val="30"/>
        </w:rPr>
        <w:t>一是受政府债务清理影响，制约了我县部分项目的如期推进</w:t>
      </w:r>
      <w:r>
        <w:rPr>
          <w:rFonts w:hint="eastAsia" w:ascii="宋体" w:hAnsi="宋体" w:eastAsia="宋体" w:cs="宋体"/>
          <w:sz w:val="30"/>
          <w:szCs w:val="30"/>
          <w:lang w:eastAsia="zh-CN"/>
        </w:rPr>
        <w:t>；</w:t>
      </w:r>
      <w:r>
        <w:rPr>
          <w:rFonts w:hint="eastAsia" w:ascii="宋体" w:hAnsi="宋体" w:eastAsia="宋体" w:cs="宋体"/>
          <w:sz w:val="30"/>
          <w:szCs w:val="30"/>
        </w:rPr>
        <w:t>二是老旧小区改造难度大，由于布局不合理、功能不完善、环境条件差、安全隐患多等问题，造成改造难度较大</w:t>
      </w:r>
      <w:r>
        <w:rPr>
          <w:rFonts w:hint="eastAsia" w:ascii="宋体" w:hAnsi="宋体" w:eastAsia="宋体" w:cs="宋体"/>
          <w:sz w:val="30"/>
          <w:szCs w:val="30"/>
          <w:lang w:eastAsia="zh-CN"/>
        </w:rPr>
        <w:t>；</w:t>
      </w:r>
      <w:r>
        <w:rPr>
          <w:rFonts w:hint="eastAsia" w:ascii="宋体" w:hAnsi="宋体" w:eastAsia="宋体" w:cs="宋体"/>
          <w:sz w:val="30"/>
          <w:szCs w:val="30"/>
        </w:rPr>
        <w:t>三是目前的征拆补偿标准与群众诉求差距较大，致使征地拆迁难以推动，严重制约城镇建设项目的顺利推进</w:t>
      </w:r>
      <w:r>
        <w:rPr>
          <w:rFonts w:hint="eastAsia" w:ascii="宋体" w:hAnsi="宋体" w:eastAsia="宋体" w:cs="宋体"/>
          <w:sz w:val="30"/>
          <w:szCs w:val="30"/>
          <w:lang w:eastAsia="zh-CN"/>
        </w:rPr>
        <w:t>。</w:t>
      </w:r>
    </w:p>
    <w:p w14:paraId="47832760">
      <w:pPr>
        <w:numPr>
          <w:ilvl w:val="0"/>
          <w:numId w:val="3"/>
        </w:numPr>
        <w:spacing w:line="360" w:lineRule="auto"/>
        <w:ind w:left="0" w:leftChars="0" w:firstLine="602" w:firstLineChars="200"/>
        <w:rPr>
          <w:rFonts w:hint="eastAsia" w:ascii="宋体" w:hAnsi="宋体" w:eastAsia="宋体" w:cs="宋体"/>
          <w:b/>
          <w:sz w:val="30"/>
          <w:szCs w:val="30"/>
        </w:rPr>
      </w:pPr>
      <w:r>
        <w:rPr>
          <w:rFonts w:hint="eastAsia" w:ascii="宋体" w:hAnsi="宋体" w:eastAsia="宋体" w:cs="宋体"/>
          <w:b/>
          <w:sz w:val="30"/>
          <w:szCs w:val="30"/>
        </w:rPr>
        <w:t>“保交楼”压力较大。</w:t>
      </w:r>
    </w:p>
    <w:p w14:paraId="3C62CE74">
      <w:pPr>
        <w:numPr>
          <w:ilvl w:val="0"/>
          <w:numId w:val="0"/>
        </w:numPr>
        <w:spacing w:line="360" w:lineRule="auto"/>
        <w:ind w:firstLine="602" w:firstLineChars="200"/>
        <w:rPr>
          <w:rFonts w:hint="eastAsia" w:ascii="宋体" w:hAnsi="宋体" w:eastAsia="宋体" w:cs="宋体"/>
          <w:sz w:val="30"/>
          <w:szCs w:val="30"/>
        </w:rPr>
      </w:pPr>
      <w:r>
        <w:rPr>
          <w:rFonts w:hint="eastAsia" w:ascii="宋体" w:hAnsi="宋体" w:eastAsia="宋体" w:cs="宋体"/>
          <w:b/>
          <w:bCs/>
          <w:snapToGrid w:val="0"/>
          <w:kern w:val="30"/>
          <w:sz w:val="30"/>
          <w:szCs w:val="30"/>
        </w:rPr>
        <w:t>一是</w:t>
      </w:r>
      <w:r>
        <w:rPr>
          <w:rFonts w:hint="eastAsia" w:ascii="宋体" w:hAnsi="宋体" w:eastAsia="宋体" w:cs="宋体"/>
          <w:sz w:val="30"/>
          <w:szCs w:val="30"/>
        </w:rPr>
        <w:t>开发商资金严重不足。受房地产销售形势不好的影响，上海佳苑、凤凰瑞府楼盘开发商的资金不足，导致开工不足，交房不及时；中梁公司因总公司投入不足，所需资金不能及时足额拨付造成施工时断时续；碧桂园受总公司“爆雷”影响，所需后续资金无来源，导致无法交房。</w:t>
      </w:r>
      <w:r>
        <w:rPr>
          <w:rFonts w:hint="eastAsia" w:ascii="宋体" w:hAnsi="宋体" w:eastAsia="宋体" w:cs="宋体"/>
          <w:b/>
          <w:sz w:val="30"/>
          <w:szCs w:val="30"/>
        </w:rPr>
        <w:t>二是</w:t>
      </w:r>
      <w:r>
        <w:rPr>
          <w:rFonts w:hint="eastAsia" w:ascii="宋体" w:hAnsi="宋体" w:eastAsia="宋体" w:cs="宋体"/>
          <w:sz w:val="30"/>
          <w:szCs w:val="30"/>
        </w:rPr>
        <w:t>信贷支持力度不够。银行因担心贷款有风险，不愿放贷支持，就是有按揭房贷也不愿放款，银行信心明显不足。</w:t>
      </w:r>
      <w:r>
        <w:rPr>
          <w:rFonts w:hint="eastAsia" w:ascii="宋体" w:hAnsi="宋体" w:eastAsia="宋体" w:cs="宋体"/>
          <w:b/>
          <w:sz w:val="30"/>
          <w:szCs w:val="30"/>
        </w:rPr>
        <w:t>三是</w:t>
      </w:r>
      <w:r>
        <w:rPr>
          <w:rFonts w:hint="eastAsia" w:ascii="宋体" w:hAnsi="宋体" w:eastAsia="宋体" w:cs="宋体"/>
          <w:sz w:val="30"/>
          <w:szCs w:val="30"/>
        </w:rPr>
        <w:t>施工合同纠纷不断。</w:t>
      </w:r>
    </w:p>
    <w:p w14:paraId="7B234265">
      <w:pPr>
        <w:spacing w:line="360" w:lineRule="auto"/>
        <w:ind w:firstLine="602" w:firstLineChars="200"/>
        <w:rPr>
          <w:rFonts w:hint="eastAsia" w:ascii="宋体" w:hAnsi="宋体" w:eastAsia="宋体" w:cs="宋体"/>
          <w:b/>
          <w:bCs w:val="0"/>
          <w:sz w:val="30"/>
          <w:szCs w:val="30"/>
        </w:rPr>
      </w:pPr>
      <w:r>
        <w:rPr>
          <w:rFonts w:hint="eastAsia" w:ascii="宋体" w:hAnsi="宋体" w:eastAsia="宋体" w:cs="宋体"/>
          <w:b/>
          <w:bCs w:val="0"/>
          <w:color w:val="000000" w:themeColor="text1"/>
          <w:kern w:val="0"/>
          <w:sz w:val="30"/>
          <w:szCs w:val="30"/>
        </w:rPr>
        <w:t>(</w:t>
      </w:r>
      <w:r>
        <w:rPr>
          <w:rFonts w:hint="eastAsia" w:ascii="宋体" w:hAnsi="宋体" w:eastAsia="宋体" w:cs="宋体"/>
          <w:b/>
          <w:bCs w:val="0"/>
          <w:color w:val="000000" w:themeColor="text1"/>
          <w:sz w:val="30"/>
          <w:szCs w:val="30"/>
        </w:rPr>
        <w:t>四)初</w:t>
      </w:r>
      <w:r>
        <w:rPr>
          <w:rFonts w:hint="eastAsia" w:ascii="宋体" w:hAnsi="宋体" w:eastAsia="宋体" w:cs="宋体"/>
          <w:b/>
          <w:bCs w:val="0"/>
          <w:sz w:val="30"/>
          <w:szCs w:val="30"/>
        </w:rPr>
        <w:t>预算编制不够全面、细化，预算偏差大。</w:t>
      </w:r>
    </w:p>
    <w:p w14:paraId="62114F52">
      <w:pPr>
        <w:spacing w:line="360" w:lineRule="auto"/>
        <w:ind w:firstLine="600" w:firstLineChars="200"/>
        <w:rPr>
          <w:rFonts w:hint="eastAsia" w:ascii="宋体" w:hAnsi="宋体" w:eastAsia="宋体" w:cs="宋体"/>
          <w:sz w:val="30"/>
          <w:szCs w:val="30"/>
        </w:rPr>
      </w:pPr>
      <w:r>
        <w:rPr>
          <w:rFonts w:hint="eastAsia" w:ascii="宋体" w:hAnsi="宋体" w:eastAsia="宋体" w:cs="宋体"/>
          <w:sz w:val="30"/>
          <w:szCs w:val="30"/>
          <w:lang w:eastAsia="zh-CN"/>
        </w:rPr>
        <w:t>项目支出</w:t>
      </w:r>
      <w:r>
        <w:rPr>
          <w:rFonts w:hint="eastAsia" w:ascii="宋体" w:hAnsi="宋体" w:eastAsia="宋体" w:cs="宋体"/>
          <w:sz w:val="30"/>
          <w:szCs w:val="30"/>
        </w:rPr>
        <w:t>年初预</w:t>
      </w:r>
      <w:r>
        <w:rPr>
          <w:rFonts w:hint="eastAsia" w:ascii="宋体" w:hAnsi="宋体" w:eastAsia="宋体" w:cs="宋体"/>
          <w:sz w:val="30"/>
          <w:szCs w:val="30"/>
          <w:highlight w:val="none"/>
        </w:rPr>
        <w:t>算不足，在实施过程中因客观因素（年中新项目的启动等）需追加预算资金较多，如</w:t>
      </w:r>
      <w:r>
        <w:rPr>
          <w:rFonts w:hint="eastAsia" w:ascii="宋体" w:hAnsi="宋体" w:eastAsia="宋体" w:cs="宋体"/>
          <w:sz w:val="30"/>
          <w:szCs w:val="30"/>
          <w:highlight w:val="none"/>
          <w:lang w:eastAsia="zh-CN"/>
        </w:rPr>
        <w:t>两笔棚户区改造专项债券基金项目</w:t>
      </w:r>
      <w:r>
        <w:rPr>
          <w:rFonts w:hint="eastAsia" w:ascii="宋体" w:hAnsi="宋体" w:eastAsia="宋体" w:cs="宋体"/>
          <w:sz w:val="30"/>
          <w:szCs w:val="30"/>
          <w:highlight w:val="none"/>
          <w:lang w:val="en-US" w:eastAsia="zh-CN"/>
        </w:rPr>
        <w:t>27000万元</w:t>
      </w:r>
      <w:r>
        <w:rPr>
          <w:rFonts w:hint="eastAsia" w:ascii="宋体" w:hAnsi="宋体" w:eastAsia="宋体" w:cs="宋体"/>
          <w:sz w:val="30"/>
          <w:szCs w:val="30"/>
          <w:highlight w:val="none"/>
        </w:rPr>
        <w:t>无法纳入</w:t>
      </w:r>
      <w:r>
        <w:rPr>
          <w:rFonts w:hint="eastAsia" w:ascii="宋体" w:hAnsi="宋体" w:eastAsia="宋体" w:cs="宋体"/>
          <w:sz w:val="30"/>
          <w:szCs w:val="30"/>
          <w:highlight w:val="none"/>
          <w:lang w:eastAsia="zh-CN"/>
        </w:rPr>
        <w:t>年初</w:t>
      </w:r>
      <w:r>
        <w:rPr>
          <w:rFonts w:hint="eastAsia" w:ascii="宋体" w:hAnsi="宋体" w:eastAsia="宋体" w:cs="宋体"/>
          <w:sz w:val="30"/>
          <w:szCs w:val="30"/>
          <w:highlight w:val="none"/>
        </w:rPr>
        <w:t>预算，只能进行年中追</w:t>
      </w:r>
      <w:r>
        <w:rPr>
          <w:rFonts w:hint="eastAsia" w:ascii="宋体" w:hAnsi="宋体" w:eastAsia="宋体" w:cs="宋体"/>
          <w:sz w:val="30"/>
          <w:szCs w:val="30"/>
        </w:rPr>
        <w:t>加，造成预算调整金额较大。</w:t>
      </w:r>
    </w:p>
    <w:p w14:paraId="370C6035">
      <w:pPr>
        <w:spacing w:line="360" w:lineRule="auto"/>
        <w:ind w:firstLine="602" w:firstLineChars="200"/>
        <w:rPr>
          <w:rFonts w:hint="eastAsia" w:ascii="宋体" w:hAnsi="宋体" w:eastAsia="宋体" w:cs="宋体"/>
          <w:b/>
          <w:bCs w:val="0"/>
          <w:color w:val="000000" w:themeColor="text1"/>
          <w:kern w:val="0"/>
          <w:sz w:val="30"/>
          <w:szCs w:val="30"/>
        </w:rPr>
      </w:pPr>
      <w:r>
        <w:rPr>
          <w:rFonts w:hint="eastAsia" w:ascii="宋体" w:hAnsi="宋体" w:eastAsia="宋体" w:cs="宋体"/>
          <w:b/>
          <w:bCs w:val="0"/>
          <w:color w:val="000000" w:themeColor="text1"/>
          <w:kern w:val="0"/>
          <w:sz w:val="30"/>
          <w:szCs w:val="30"/>
        </w:rPr>
        <w:t>七、改进措施和有关建议</w:t>
      </w:r>
    </w:p>
    <w:p w14:paraId="7F4D04AC">
      <w:pPr>
        <w:spacing w:line="360" w:lineRule="auto"/>
        <w:ind w:firstLine="602" w:firstLineChars="200"/>
        <w:rPr>
          <w:rFonts w:hint="eastAsia" w:ascii="宋体" w:hAnsi="宋体" w:eastAsia="宋体" w:cs="宋体"/>
          <w:b/>
          <w:bCs w:val="0"/>
          <w:color w:val="000000" w:themeColor="text1"/>
          <w:sz w:val="30"/>
          <w:szCs w:val="30"/>
        </w:rPr>
      </w:pPr>
      <w:r>
        <w:rPr>
          <w:rFonts w:hint="eastAsia" w:ascii="宋体" w:hAnsi="宋体" w:eastAsia="宋体" w:cs="宋体"/>
          <w:b/>
          <w:bCs w:val="0"/>
          <w:color w:val="000000" w:themeColor="text1"/>
          <w:sz w:val="30"/>
          <w:szCs w:val="30"/>
        </w:rPr>
        <w:t>（一）请求上级财政加大资金投入力度</w:t>
      </w:r>
      <w:r>
        <w:rPr>
          <w:rFonts w:hint="eastAsia" w:ascii="宋体" w:hAnsi="宋体" w:eastAsia="宋体" w:cs="宋体"/>
          <w:b/>
          <w:bCs w:val="0"/>
          <w:color w:val="000000" w:themeColor="text1"/>
          <w:sz w:val="30"/>
          <w:szCs w:val="30"/>
          <w:lang w:eastAsia="zh-CN"/>
        </w:rPr>
        <w:t>，多元投入，缓解县乡资金压力</w:t>
      </w:r>
      <w:r>
        <w:rPr>
          <w:rFonts w:hint="eastAsia" w:ascii="宋体" w:hAnsi="宋体" w:eastAsia="宋体" w:cs="宋体"/>
          <w:b/>
          <w:bCs w:val="0"/>
          <w:color w:val="000000" w:themeColor="text1"/>
          <w:sz w:val="30"/>
          <w:szCs w:val="30"/>
        </w:rPr>
        <w:t>。</w:t>
      </w:r>
    </w:p>
    <w:p w14:paraId="57192B57">
      <w:pPr>
        <w:spacing w:line="360" w:lineRule="auto"/>
        <w:ind w:firstLine="600" w:firstLineChars="200"/>
        <w:rPr>
          <w:rFonts w:hint="eastAsia" w:ascii="宋体" w:hAnsi="宋体" w:eastAsia="宋体" w:cs="宋体"/>
          <w:sz w:val="30"/>
          <w:szCs w:val="30"/>
        </w:rPr>
      </w:pPr>
      <w:r>
        <w:rPr>
          <w:rFonts w:hint="eastAsia" w:ascii="宋体" w:hAnsi="宋体" w:eastAsia="宋体" w:cs="宋体"/>
          <w:sz w:val="30"/>
          <w:szCs w:val="30"/>
          <w:lang w:eastAsia="zh-CN"/>
        </w:rPr>
        <w:t>各级</w:t>
      </w:r>
      <w:r>
        <w:rPr>
          <w:rFonts w:hint="eastAsia" w:ascii="宋体" w:hAnsi="宋体" w:eastAsia="宋体" w:cs="宋体"/>
          <w:sz w:val="30"/>
          <w:szCs w:val="30"/>
        </w:rPr>
        <w:t>财政资金</w:t>
      </w:r>
      <w:r>
        <w:rPr>
          <w:rFonts w:hint="eastAsia" w:ascii="宋体" w:hAnsi="宋体" w:eastAsia="宋体" w:cs="宋体"/>
          <w:sz w:val="30"/>
          <w:szCs w:val="30"/>
          <w:lang w:eastAsia="zh-CN"/>
        </w:rPr>
        <w:t>加大</w:t>
      </w:r>
      <w:r>
        <w:rPr>
          <w:rFonts w:hint="eastAsia" w:ascii="宋体" w:hAnsi="宋体" w:eastAsia="宋体" w:cs="宋体"/>
          <w:sz w:val="30"/>
          <w:szCs w:val="30"/>
        </w:rPr>
        <w:t>投入，</w:t>
      </w:r>
      <w:r>
        <w:rPr>
          <w:rFonts w:hint="eastAsia" w:ascii="宋体" w:hAnsi="宋体" w:eastAsia="宋体" w:cs="宋体"/>
          <w:sz w:val="30"/>
          <w:szCs w:val="30"/>
          <w:lang w:eastAsia="zh-CN"/>
        </w:rPr>
        <w:t>增加</w:t>
      </w:r>
      <w:r>
        <w:rPr>
          <w:rFonts w:hint="eastAsia" w:ascii="宋体" w:hAnsi="宋体" w:eastAsia="宋体" w:cs="宋体"/>
          <w:sz w:val="30"/>
          <w:szCs w:val="30"/>
        </w:rPr>
        <w:t>社会筹资和银行借款等方式，进一步加大项目资金的整合力度，形成“政府主导、市场推进、多元投入”的投融资格局。努力寻找与国家政策支持的结合点，积极开展立项争资，努力筹措项目资金，最大限度用好政策，严格按照争取的上级资金用途和内容准确把握项目建设，将项目资金用在刀刃上。</w:t>
      </w:r>
    </w:p>
    <w:p w14:paraId="7B586DB2">
      <w:pPr>
        <w:spacing w:line="360" w:lineRule="auto"/>
        <w:ind w:firstLine="602" w:firstLineChars="200"/>
        <w:rPr>
          <w:rFonts w:hint="eastAsia" w:ascii="宋体" w:hAnsi="宋体" w:eastAsia="宋体" w:cs="宋体"/>
          <w:b/>
          <w:bCs/>
          <w:sz w:val="30"/>
          <w:szCs w:val="30"/>
        </w:rPr>
      </w:pPr>
      <w:r>
        <w:rPr>
          <w:rFonts w:hint="eastAsia" w:ascii="宋体" w:hAnsi="宋体" w:eastAsia="宋体" w:cs="宋体"/>
          <w:b/>
          <w:bCs/>
          <w:sz w:val="30"/>
          <w:szCs w:val="30"/>
          <w:lang w:eastAsia="zh-CN"/>
        </w:rPr>
        <w:t>（二）采取各项有效措施，积极推进</w:t>
      </w:r>
      <w:r>
        <w:rPr>
          <w:rFonts w:hint="eastAsia" w:ascii="宋体" w:hAnsi="宋体" w:eastAsia="宋体" w:cs="宋体"/>
          <w:b/>
          <w:bCs/>
          <w:sz w:val="30"/>
          <w:szCs w:val="30"/>
        </w:rPr>
        <w:t>项目建设</w:t>
      </w:r>
      <w:r>
        <w:rPr>
          <w:rFonts w:hint="eastAsia" w:ascii="宋体" w:hAnsi="宋体" w:eastAsia="宋体" w:cs="宋体"/>
          <w:b/>
          <w:bCs/>
          <w:sz w:val="30"/>
          <w:szCs w:val="30"/>
          <w:lang w:eastAsia="zh-CN"/>
        </w:rPr>
        <w:t>如期完成</w:t>
      </w:r>
      <w:r>
        <w:rPr>
          <w:rFonts w:hint="eastAsia" w:ascii="宋体" w:hAnsi="宋体" w:eastAsia="宋体" w:cs="宋体"/>
          <w:b/>
          <w:bCs/>
          <w:sz w:val="30"/>
          <w:szCs w:val="30"/>
        </w:rPr>
        <w:t>。</w:t>
      </w:r>
    </w:p>
    <w:p w14:paraId="5BF1C512">
      <w:pPr>
        <w:spacing w:line="360" w:lineRule="auto"/>
        <w:ind w:firstLine="600" w:firstLineChars="200"/>
        <w:rPr>
          <w:rFonts w:hint="eastAsia" w:ascii="宋体" w:hAnsi="宋体" w:eastAsia="宋体" w:cs="宋体"/>
          <w:sz w:val="30"/>
          <w:szCs w:val="30"/>
        </w:rPr>
      </w:pPr>
      <w:r>
        <w:rPr>
          <w:rFonts w:hint="eastAsia" w:ascii="宋体" w:hAnsi="宋体" w:eastAsia="宋体" w:cs="宋体"/>
          <w:sz w:val="30"/>
          <w:szCs w:val="30"/>
        </w:rPr>
        <w:t>一是</w:t>
      </w:r>
      <w:r>
        <w:rPr>
          <w:rFonts w:hint="eastAsia" w:ascii="宋体" w:hAnsi="宋体" w:eastAsia="宋体" w:cs="宋体"/>
          <w:sz w:val="30"/>
          <w:szCs w:val="30"/>
          <w:lang w:eastAsia="zh-CN"/>
        </w:rPr>
        <w:t>积极筹措资金保支付，</w:t>
      </w:r>
      <w:r>
        <w:rPr>
          <w:rFonts w:hint="eastAsia" w:ascii="宋体" w:hAnsi="宋体" w:eastAsia="宋体" w:cs="宋体"/>
          <w:sz w:val="30"/>
          <w:szCs w:val="30"/>
        </w:rPr>
        <w:t>项目</w:t>
      </w:r>
      <w:r>
        <w:rPr>
          <w:rFonts w:hint="eastAsia" w:ascii="宋体" w:hAnsi="宋体" w:eastAsia="宋体" w:cs="宋体"/>
          <w:sz w:val="30"/>
          <w:szCs w:val="30"/>
          <w:lang w:eastAsia="zh-CN"/>
        </w:rPr>
        <w:t>建设</w:t>
      </w:r>
      <w:r>
        <w:rPr>
          <w:rFonts w:hint="eastAsia" w:ascii="宋体" w:hAnsi="宋体" w:eastAsia="宋体" w:cs="宋体"/>
          <w:sz w:val="30"/>
          <w:szCs w:val="30"/>
        </w:rPr>
        <w:t>如期推进；二是老旧小区改造</w:t>
      </w:r>
      <w:r>
        <w:rPr>
          <w:rFonts w:hint="eastAsia" w:ascii="宋体" w:hAnsi="宋体" w:eastAsia="宋体" w:cs="宋体"/>
          <w:sz w:val="30"/>
          <w:szCs w:val="30"/>
          <w:lang w:eastAsia="zh-CN"/>
        </w:rPr>
        <w:t>做好事前勘察、设计、施工方案，做好事中施工监督，相关部门配合及时处理各种问题</w:t>
      </w:r>
      <w:r>
        <w:rPr>
          <w:rFonts w:hint="eastAsia" w:ascii="宋体" w:hAnsi="宋体" w:eastAsia="宋体" w:cs="宋体"/>
          <w:sz w:val="30"/>
          <w:szCs w:val="30"/>
        </w:rPr>
        <w:t>；三是</w:t>
      </w:r>
      <w:r>
        <w:rPr>
          <w:rFonts w:hint="eastAsia" w:ascii="宋体" w:hAnsi="宋体" w:eastAsia="宋体" w:cs="宋体"/>
          <w:sz w:val="30"/>
          <w:szCs w:val="30"/>
          <w:lang w:eastAsia="zh-CN"/>
        </w:rPr>
        <w:t>对</w:t>
      </w:r>
      <w:r>
        <w:rPr>
          <w:rFonts w:hint="eastAsia" w:ascii="宋体" w:hAnsi="宋体" w:eastAsia="宋体" w:cs="宋体"/>
          <w:sz w:val="30"/>
          <w:szCs w:val="30"/>
        </w:rPr>
        <w:t>征地</w:t>
      </w:r>
      <w:r>
        <w:rPr>
          <w:rFonts w:hint="eastAsia" w:ascii="宋体" w:hAnsi="宋体" w:eastAsia="宋体" w:cs="宋体"/>
          <w:sz w:val="30"/>
          <w:szCs w:val="30"/>
          <w:lang w:eastAsia="zh-CN"/>
        </w:rPr>
        <w:t>拆迁出现的问题采取原则与协商结合，</w:t>
      </w:r>
      <w:r>
        <w:rPr>
          <w:rFonts w:hint="eastAsia" w:ascii="宋体" w:hAnsi="宋体" w:eastAsia="宋体" w:cs="宋体"/>
          <w:sz w:val="30"/>
          <w:szCs w:val="30"/>
        </w:rPr>
        <w:t>推动建设项目的顺利</w:t>
      </w:r>
      <w:r>
        <w:rPr>
          <w:rFonts w:hint="eastAsia" w:ascii="宋体" w:hAnsi="宋体" w:eastAsia="宋体" w:cs="宋体"/>
          <w:sz w:val="30"/>
          <w:szCs w:val="30"/>
          <w:lang w:eastAsia="zh-CN"/>
        </w:rPr>
        <w:t>进行</w:t>
      </w:r>
      <w:r>
        <w:rPr>
          <w:rFonts w:hint="eastAsia" w:ascii="宋体" w:hAnsi="宋体" w:eastAsia="宋体" w:cs="宋体"/>
          <w:sz w:val="30"/>
          <w:szCs w:val="30"/>
        </w:rPr>
        <w:t>。</w:t>
      </w:r>
    </w:p>
    <w:p w14:paraId="019BB91E">
      <w:pPr>
        <w:numPr>
          <w:ilvl w:val="0"/>
          <w:numId w:val="0"/>
        </w:numPr>
        <w:spacing w:line="360" w:lineRule="auto"/>
        <w:ind w:leftChars="200"/>
        <w:rPr>
          <w:rFonts w:hint="eastAsia" w:ascii="宋体" w:hAnsi="宋体" w:eastAsia="宋体" w:cs="宋体"/>
          <w:b/>
          <w:bCs/>
          <w:sz w:val="30"/>
          <w:szCs w:val="30"/>
          <w:lang w:eastAsia="zh-CN"/>
        </w:rPr>
      </w:pPr>
      <w:r>
        <w:rPr>
          <w:rFonts w:hint="eastAsia" w:ascii="宋体" w:hAnsi="宋体" w:eastAsia="宋体" w:cs="宋体"/>
          <w:b/>
          <w:bCs/>
          <w:sz w:val="30"/>
          <w:szCs w:val="30"/>
          <w:lang w:eastAsia="zh-CN"/>
        </w:rPr>
        <w:t>（三）认真贯彻中央“保交楼、保民生、保稳定”工作方针。</w:t>
      </w:r>
    </w:p>
    <w:p w14:paraId="1F9A87B2">
      <w:pPr>
        <w:numPr>
          <w:ilvl w:val="0"/>
          <w:numId w:val="0"/>
        </w:numPr>
        <w:spacing w:line="360" w:lineRule="auto"/>
        <w:ind w:firstLine="600" w:firstLineChars="200"/>
        <w:rPr>
          <w:rFonts w:hint="eastAsia" w:ascii="宋体" w:hAnsi="宋体" w:eastAsia="宋体" w:cs="宋体"/>
          <w:sz w:val="30"/>
          <w:szCs w:val="30"/>
          <w:lang w:eastAsia="zh-CN"/>
        </w:rPr>
      </w:pPr>
      <w:r>
        <w:rPr>
          <w:rFonts w:hint="eastAsia" w:ascii="宋体" w:hAnsi="宋体" w:eastAsia="宋体" w:cs="宋体"/>
          <w:sz w:val="30"/>
          <w:szCs w:val="30"/>
          <w:lang w:eastAsia="zh-CN"/>
        </w:rPr>
        <w:t>进一步完善房地产领域风险防控工作预案，对办证难和问题楼盘实行“一楼一策”、靶向施策，制定针对性化解“办证难”方案，切实做到交房即交证；进一步加大房地产行业促销力度。把化解存量、遏制增量作为治本之策，加强预售资金的监管和使用，从源头上规范房地产市场经营秩序，保障“保交楼”工作落实到位；进一步加大银行支持力度。由政府部门出面，协调各银行加大信贷支持力度，保证房地产企业的正常运转。</w:t>
      </w:r>
    </w:p>
    <w:p w14:paraId="1282AF0C">
      <w:pPr>
        <w:numPr>
          <w:ilvl w:val="0"/>
          <w:numId w:val="3"/>
        </w:numPr>
        <w:spacing w:line="360" w:lineRule="auto"/>
        <w:ind w:left="0" w:leftChars="0" w:firstLine="602" w:firstLineChars="200"/>
        <w:rPr>
          <w:rFonts w:hint="eastAsia" w:ascii="宋体" w:hAnsi="宋体" w:eastAsia="宋体" w:cs="宋体"/>
          <w:b/>
          <w:bCs/>
          <w:sz w:val="30"/>
          <w:szCs w:val="30"/>
          <w:lang w:eastAsia="zh-CN"/>
        </w:rPr>
      </w:pPr>
      <w:r>
        <w:rPr>
          <w:rFonts w:hint="eastAsia" w:ascii="宋体" w:hAnsi="宋体" w:eastAsia="宋体" w:cs="宋体"/>
          <w:b/>
          <w:bCs/>
          <w:sz w:val="30"/>
          <w:szCs w:val="30"/>
          <w:lang w:eastAsia="zh-CN"/>
        </w:rPr>
        <w:t>严格落实省、市关于绿色建筑的有关要求。</w:t>
      </w:r>
    </w:p>
    <w:p w14:paraId="631DAF38">
      <w:pPr>
        <w:numPr>
          <w:ilvl w:val="0"/>
          <w:numId w:val="0"/>
        </w:numPr>
        <w:spacing w:line="360" w:lineRule="auto"/>
        <w:ind w:firstLine="600" w:firstLineChars="200"/>
        <w:rPr>
          <w:rFonts w:hint="eastAsia" w:ascii="宋体" w:hAnsi="宋体" w:eastAsia="宋体" w:cs="宋体"/>
          <w:sz w:val="30"/>
          <w:szCs w:val="30"/>
          <w:lang w:eastAsia="zh-CN"/>
        </w:rPr>
      </w:pPr>
      <w:r>
        <w:rPr>
          <w:rFonts w:hint="eastAsia" w:ascii="宋体" w:hAnsi="宋体" w:eastAsia="宋体" w:cs="宋体"/>
          <w:sz w:val="30"/>
          <w:szCs w:val="30"/>
          <w:lang w:eastAsia="zh-CN"/>
        </w:rPr>
        <w:t>全面推行绿色建筑，广泛开展装配式建筑、绿色建筑的宣传推广工作，凡未达到绿色建筑设计标准的，不得出具施工图审查合格书，确保全县装配式建筑按32%以上的比例进行推进，绿色建筑按星级标准推进，实现县内绿色建筑占新建建筑比例 90%以上的目标。</w:t>
      </w:r>
    </w:p>
    <w:p w14:paraId="60F89914">
      <w:pPr>
        <w:numPr>
          <w:ilvl w:val="0"/>
          <w:numId w:val="3"/>
        </w:numPr>
        <w:spacing w:line="360" w:lineRule="auto"/>
        <w:ind w:left="0" w:leftChars="0" w:firstLine="602" w:firstLineChars="200"/>
        <w:rPr>
          <w:rFonts w:hint="eastAsia" w:ascii="宋体" w:hAnsi="宋体" w:eastAsia="宋体" w:cs="宋体"/>
          <w:b/>
          <w:bCs/>
          <w:sz w:val="30"/>
          <w:szCs w:val="30"/>
          <w:lang w:eastAsia="zh-CN"/>
        </w:rPr>
      </w:pPr>
      <w:r>
        <w:rPr>
          <w:rFonts w:hint="eastAsia" w:ascii="宋体" w:hAnsi="宋体" w:eastAsia="宋体" w:cs="宋体"/>
          <w:b/>
          <w:bCs/>
          <w:sz w:val="30"/>
          <w:szCs w:val="30"/>
          <w:lang w:eastAsia="zh-CN"/>
        </w:rPr>
        <w:t>进一步加大“打非治违”力度。</w:t>
      </w:r>
    </w:p>
    <w:p w14:paraId="1F23AB87">
      <w:pPr>
        <w:numPr>
          <w:ilvl w:val="0"/>
          <w:numId w:val="0"/>
        </w:numPr>
        <w:spacing w:line="360" w:lineRule="auto"/>
        <w:ind w:firstLine="600" w:firstLineChars="200"/>
        <w:rPr>
          <w:rFonts w:hint="eastAsia" w:ascii="宋体" w:hAnsi="宋体" w:eastAsia="宋体" w:cs="宋体"/>
          <w:sz w:val="30"/>
          <w:szCs w:val="30"/>
          <w:lang w:eastAsia="zh-CN"/>
        </w:rPr>
      </w:pPr>
      <w:r>
        <w:rPr>
          <w:rFonts w:hint="eastAsia" w:ascii="宋体" w:hAnsi="宋体" w:eastAsia="宋体" w:cs="宋体"/>
          <w:sz w:val="30"/>
          <w:szCs w:val="30"/>
          <w:lang w:eastAsia="zh-CN"/>
        </w:rPr>
        <w:t>常态化开展工程质量安全日常巡查，对违法工程、违章指挥、违规操作进行严厉打击，确保安全生产形势持续稳定。</w:t>
      </w:r>
    </w:p>
    <w:p w14:paraId="236DD90A">
      <w:pPr>
        <w:numPr>
          <w:ilvl w:val="0"/>
          <w:numId w:val="3"/>
        </w:numPr>
        <w:spacing w:line="360" w:lineRule="auto"/>
        <w:ind w:left="0" w:leftChars="0" w:firstLine="602" w:firstLineChars="200"/>
        <w:rPr>
          <w:rFonts w:hint="eastAsia" w:ascii="宋体" w:hAnsi="宋体" w:eastAsia="宋体" w:cs="宋体"/>
          <w:sz w:val="30"/>
          <w:szCs w:val="30"/>
          <w:lang w:eastAsia="zh-CN"/>
        </w:rPr>
      </w:pPr>
      <w:r>
        <w:rPr>
          <w:rFonts w:hint="eastAsia" w:ascii="宋体" w:hAnsi="宋体" w:eastAsia="宋体" w:cs="宋体"/>
          <w:b/>
          <w:bCs/>
          <w:sz w:val="30"/>
          <w:szCs w:val="30"/>
          <w:lang w:eastAsia="zh-CN"/>
        </w:rPr>
        <w:t>加大“放管服”改革力度，不断优化住建营商环境</w:t>
      </w:r>
      <w:r>
        <w:rPr>
          <w:rFonts w:hint="eastAsia" w:ascii="宋体" w:hAnsi="宋体" w:eastAsia="宋体" w:cs="宋体"/>
          <w:sz w:val="30"/>
          <w:szCs w:val="30"/>
          <w:lang w:eastAsia="zh-CN"/>
        </w:rPr>
        <w:t>。</w:t>
      </w:r>
    </w:p>
    <w:p w14:paraId="7C10D62A">
      <w:pPr>
        <w:numPr>
          <w:ilvl w:val="0"/>
          <w:numId w:val="0"/>
        </w:numPr>
        <w:spacing w:line="360" w:lineRule="auto"/>
        <w:ind w:firstLine="600" w:firstLineChars="200"/>
        <w:rPr>
          <w:rFonts w:hint="eastAsia" w:ascii="宋体" w:hAnsi="宋体" w:eastAsia="宋体" w:cs="宋体"/>
          <w:sz w:val="30"/>
          <w:szCs w:val="30"/>
          <w:lang w:eastAsia="zh-CN"/>
        </w:rPr>
      </w:pPr>
      <w:r>
        <w:rPr>
          <w:rFonts w:hint="eastAsia" w:ascii="宋体" w:hAnsi="宋体" w:eastAsia="宋体" w:cs="宋体"/>
          <w:sz w:val="30"/>
          <w:szCs w:val="30"/>
          <w:lang w:eastAsia="zh-CN"/>
        </w:rPr>
        <w:t>持续深化工程建设项目审批制度改革，坚持依法管理和超前服务相结合，助推项目建设快速落地。按照“互联网+政务服务”工作要求，积极推进网上审批，落实并联审批、多图联审、联合竣工验收；切实推行“一个窗口对外”的高效便民的运作模式，实行效能提速。</w:t>
      </w:r>
    </w:p>
    <w:p w14:paraId="5D7ECBEE">
      <w:pPr>
        <w:spacing w:line="360" w:lineRule="auto"/>
        <w:ind w:firstLine="600" w:firstLineChars="200"/>
        <w:rPr>
          <w:rFonts w:hint="eastAsia" w:ascii="宋体" w:hAnsi="宋体" w:eastAsia="宋体" w:cs="宋体"/>
          <w:sz w:val="30"/>
          <w:szCs w:val="30"/>
          <w:lang w:eastAsia="zh-CN"/>
        </w:rPr>
      </w:pPr>
      <w:r>
        <w:rPr>
          <w:rFonts w:hint="eastAsia" w:ascii="宋体" w:hAnsi="宋体" w:eastAsia="宋体" w:cs="宋体"/>
          <w:sz w:val="30"/>
          <w:szCs w:val="30"/>
          <w:lang w:eastAsia="zh-CN"/>
        </w:rPr>
        <w:t>（</w:t>
      </w:r>
      <w:r>
        <w:rPr>
          <w:rFonts w:hint="eastAsia" w:ascii="宋体" w:hAnsi="宋体" w:eastAsia="宋体" w:cs="宋体"/>
          <w:b/>
          <w:bCs/>
          <w:sz w:val="30"/>
          <w:szCs w:val="30"/>
          <w:lang w:eastAsia="zh-CN"/>
        </w:rPr>
        <w:t>七）科学合理编制预算，严格执行预算。</w:t>
      </w:r>
    </w:p>
    <w:p w14:paraId="40796849">
      <w:pPr>
        <w:spacing w:line="360" w:lineRule="auto"/>
        <w:ind w:firstLine="600" w:firstLineChars="200"/>
        <w:rPr>
          <w:rFonts w:hint="eastAsia" w:ascii="宋体" w:hAnsi="宋体" w:eastAsia="宋体" w:cs="宋体"/>
          <w:sz w:val="30"/>
          <w:szCs w:val="30"/>
          <w:lang w:eastAsia="zh-CN"/>
        </w:rPr>
      </w:pPr>
      <w:r>
        <w:rPr>
          <w:rFonts w:hint="eastAsia" w:ascii="宋体" w:hAnsi="宋体" w:eastAsia="宋体" w:cs="宋体"/>
          <w:sz w:val="30"/>
          <w:szCs w:val="30"/>
          <w:lang w:eastAsia="zh-CN"/>
        </w:rPr>
        <w:t>预算编制时应坚持统筹兼顾、保证重点的原则，保障预算编制的全面性和合理性及准确性。加强预算编制的前瞻性，按照新《预算法》及其实施条例的相关规定，按政策规定及本部门的发展规划，结合上一年度预算执行情况和本年度预算收支变化因素，科学、合理地编制本年预算草案。遵循预算管理办法，对于年度无法预计的临时追加的相关工作所需费用和结余资金确保资金严格按照预算专项资金使用程序申报及使用，年初预算与追加预算及实际使用预算的内容和明细口径保持一致性，按照预算项目和使用用途执行，杜绝费用项目之间调剂使用现象的发生。避免项目支出与基本支出划分不准或预算支出与实际执行出现较大偏差的情况，执行中确需调剂预算的，按规定程序报经批准。加强新《预算法》、行政事业单位会计制度等学习培训，规范部门预算收支核算，一是制定和完善基本支出、项目支出等各项支出标准，严格按项目和进度执行预算，增强预算的约束力和严肃性。二是落实预算执行分析，按期对比预算与支出情况，预算财务分析常态化。定期做好支出预算财务分析，及时对费用预算执行情况进行通报和预警，定期对下属预算单位的预算执行情况进行检查，做好部门整体支出预算评价工作。及时了解预算执行差异，合理调整、纠正预算执行偏差，提升预算编制质量，加强预算执行与控制力度，切实提高部门预算收支管理水平。</w:t>
      </w:r>
    </w:p>
    <w:p w14:paraId="1D063ACB">
      <w:pPr>
        <w:spacing w:line="360" w:lineRule="auto"/>
        <w:ind w:firstLine="600" w:firstLineChars="200"/>
        <w:rPr>
          <w:rFonts w:hint="eastAsia" w:ascii="宋体" w:hAnsi="宋体" w:eastAsia="宋体" w:cs="宋体"/>
          <w:sz w:val="30"/>
          <w:szCs w:val="30"/>
          <w:lang w:eastAsia="zh-CN"/>
        </w:rPr>
      </w:pPr>
    </w:p>
    <w:p w14:paraId="45FB8507">
      <w:pPr>
        <w:spacing w:line="580" w:lineRule="exact"/>
        <w:ind w:firstLine="4498" w:firstLineChars="1400"/>
        <w:rPr>
          <w:rFonts w:hint="eastAsia" w:ascii="宋体" w:hAnsi="宋体" w:eastAsia="仿宋_GB2312"/>
          <w:b/>
          <w:sz w:val="30"/>
          <w:szCs w:val="30"/>
          <w:lang w:eastAsia="zh-CN"/>
        </w:rPr>
      </w:pPr>
      <w:r>
        <w:rPr>
          <w:rFonts w:hint="eastAsia" w:ascii="宋体" w:hAnsi="宋体"/>
          <w:b/>
          <w:sz w:val="32"/>
          <w:szCs w:val="32"/>
        </w:rPr>
        <w:t>桃江县</w:t>
      </w:r>
      <w:r>
        <w:rPr>
          <w:rFonts w:hint="eastAsia" w:ascii="宋体" w:hAnsi="宋体"/>
          <w:b/>
          <w:sz w:val="32"/>
          <w:szCs w:val="32"/>
          <w:lang w:eastAsia="zh-CN"/>
        </w:rPr>
        <w:t>住房和城乡建设局</w:t>
      </w:r>
    </w:p>
    <w:p w14:paraId="45B6DF49">
      <w:pPr>
        <w:spacing w:line="580" w:lineRule="exact"/>
        <w:ind w:firstLine="643" w:firstLineChars="200"/>
        <w:rPr>
          <w:rFonts w:ascii="宋体" w:hAnsi="宋体"/>
          <w:bCs/>
          <w:color w:val="000000" w:themeColor="text1"/>
          <w:sz w:val="28"/>
          <w:szCs w:val="28"/>
          <w:highlight w:val="yellow"/>
        </w:rPr>
      </w:pPr>
      <w:r>
        <w:rPr>
          <w:rFonts w:hint="eastAsia" w:ascii="宋体" w:hAnsi="宋体"/>
          <w:b/>
          <w:sz w:val="32"/>
          <w:szCs w:val="32"/>
        </w:rPr>
        <w:t xml:space="preserve">                        </w:t>
      </w:r>
      <w:r>
        <w:rPr>
          <w:rFonts w:hint="eastAsia" w:ascii="宋体" w:hAnsi="宋体"/>
          <w:b/>
          <w:sz w:val="32"/>
          <w:szCs w:val="32"/>
          <w:highlight w:val="none"/>
        </w:rPr>
        <w:t xml:space="preserve">    </w:t>
      </w:r>
      <w:r>
        <w:rPr>
          <w:rFonts w:hint="eastAsia" w:ascii="宋体" w:hAnsi="宋体"/>
          <w:b/>
          <w:color w:val="000000" w:themeColor="text1"/>
          <w:sz w:val="32"/>
          <w:szCs w:val="32"/>
          <w:highlight w:val="none"/>
        </w:rPr>
        <w:t xml:space="preserve">  202</w:t>
      </w:r>
      <w:r>
        <w:rPr>
          <w:rFonts w:hint="eastAsia" w:ascii="宋体" w:hAnsi="宋体"/>
          <w:b/>
          <w:color w:val="000000" w:themeColor="text1"/>
          <w:sz w:val="32"/>
          <w:szCs w:val="32"/>
          <w:highlight w:val="none"/>
          <w:lang w:val="en-US" w:eastAsia="zh-CN"/>
        </w:rPr>
        <w:t>4</w:t>
      </w:r>
      <w:r>
        <w:rPr>
          <w:rFonts w:hint="eastAsia" w:ascii="宋体" w:hAnsi="宋体"/>
          <w:b/>
          <w:color w:val="000000" w:themeColor="text1"/>
          <w:sz w:val="32"/>
          <w:szCs w:val="32"/>
          <w:highlight w:val="none"/>
        </w:rPr>
        <w:t>年</w:t>
      </w:r>
      <w:r>
        <w:rPr>
          <w:rFonts w:hint="eastAsia" w:ascii="宋体" w:hAnsi="宋体"/>
          <w:b/>
          <w:color w:val="000000" w:themeColor="text1"/>
          <w:sz w:val="32"/>
          <w:szCs w:val="32"/>
          <w:highlight w:val="none"/>
          <w:lang w:val="en-US" w:eastAsia="zh-CN"/>
        </w:rPr>
        <w:t>6</w:t>
      </w:r>
      <w:r>
        <w:rPr>
          <w:rFonts w:hint="eastAsia" w:ascii="宋体" w:hAnsi="宋体"/>
          <w:b/>
          <w:color w:val="000000" w:themeColor="text1"/>
          <w:sz w:val="32"/>
          <w:szCs w:val="32"/>
          <w:highlight w:val="none"/>
        </w:rPr>
        <w:t>月</w:t>
      </w:r>
    </w:p>
    <w:p w14:paraId="2AAFA91F">
      <w:pPr>
        <w:widowControl/>
        <w:shd w:val="clear" w:color="auto" w:fill="FFFFFF"/>
        <w:spacing w:line="360" w:lineRule="auto"/>
        <w:jc w:val="left"/>
        <w:textAlignment w:val="center"/>
        <w:rPr>
          <w:rFonts w:hint="eastAsia" w:ascii="宋体" w:hAnsi="宋体"/>
          <w:b/>
          <w:sz w:val="28"/>
          <w:szCs w:val="28"/>
        </w:rPr>
      </w:pPr>
    </w:p>
    <w:p w14:paraId="5C365BCC">
      <w:pPr>
        <w:widowControl/>
        <w:shd w:val="clear" w:color="auto" w:fill="FFFFFF"/>
        <w:spacing w:line="360" w:lineRule="auto"/>
        <w:jc w:val="left"/>
        <w:textAlignment w:val="center"/>
        <w:rPr>
          <w:rFonts w:hint="eastAsia" w:ascii="宋体" w:hAnsi="宋体"/>
          <w:b/>
          <w:sz w:val="28"/>
          <w:szCs w:val="28"/>
        </w:rPr>
      </w:pPr>
    </w:p>
    <w:p w14:paraId="3BF27ECA">
      <w:pPr>
        <w:widowControl/>
        <w:shd w:val="clear" w:color="auto" w:fill="FFFFFF"/>
        <w:spacing w:line="360" w:lineRule="auto"/>
        <w:jc w:val="left"/>
        <w:textAlignment w:val="center"/>
        <w:rPr>
          <w:rFonts w:hint="eastAsia" w:ascii="宋体" w:hAnsi="宋体"/>
          <w:b/>
          <w:sz w:val="28"/>
          <w:szCs w:val="28"/>
        </w:rPr>
      </w:pPr>
    </w:p>
    <w:p w14:paraId="4238EE59">
      <w:pPr>
        <w:widowControl/>
        <w:shd w:val="clear" w:color="auto" w:fill="FFFFFF"/>
        <w:spacing w:line="360" w:lineRule="auto"/>
        <w:jc w:val="left"/>
        <w:textAlignment w:val="center"/>
        <w:rPr>
          <w:rFonts w:ascii="宋体" w:hAnsi="宋体"/>
          <w:b/>
          <w:sz w:val="28"/>
          <w:szCs w:val="28"/>
          <w:highlight w:val="none"/>
        </w:rPr>
      </w:pPr>
      <w:r>
        <w:rPr>
          <w:rFonts w:hint="eastAsia" w:ascii="宋体" w:hAnsi="宋体"/>
          <w:b/>
          <w:sz w:val="28"/>
          <w:szCs w:val="28"/>
        </w:rPr>
        <w:t xml:space="preserve">附送：  </w:t>
      </w:r>
      <w:r>
        <w:rPr>
          <w:rFonts w:hint="eastAsia" w:ascii="宋体" w:hAnsi="宋体"/>
          <w:b/>
          <w:sz w:val="28"/>
          <w:szCs w:val="28"/>
          <w:highlight w:val="none"/>
        </w:rPr>
        <w:t>1、202</w:t>
      </w:r>
      <w:r>
        <w:rPr>
          <w:rFonts w:hint="eastAsia" w:ascii="宋体" w:hAnsi="宋体"/>
          <w:b/>
          <w:sz w:val="28"/>
          <w:szCs w:val="28"/>
          <w:highlight w:val="none"/>
          <w:lang w:val="en-US" w:eastAsia="zh-CN"/>
        </w:rPr>
        <w:t>3</w:t>
      </w:r>
      <w:r>
        <w:rPr>
          <w:rFonts w:hint="eastAsia" w:ascii="宋体" w:hAnsi="宋体"/>
          <w:b/>
          <w:sz w:val="28"/>
          <w:szCs w:val="28"/>
          <w:highlight w:val="none"/>
        </w:rPr>
        <w:t>年度部门整体支出绩效评价基础数据表；</w:t>
      </w:r>
    </w:p>
    <w:p w14:paraId="7D5C540E">
      <w:pPr>
        <w:spacing w:line="360" w:lineRule="auto"/>
        <w:ind w:firstLine="562" w:firstLineChars="200"/>
        <w:rPr>
          <w:rFonts w:ascii="宋体" w:hAnsi="宋体"/>
          <w:b/>
          <w:sz w:val="28"/>
          <w:szCs w:val="28"/>
          <w:highlight w:val="none"/>
        </w:rPr>
      </w:pPr>
      <w:r>
        <w:rPr>
          <w:rFonts w:hint="eastAsia" w:ascii="宋体" w:hAnsi="宋体"/>
          <w:b/>
          <w:sz w:val="28"/>
          <w:szCs w:val="28"/>
          <w:highlight w:val="none"/>
        </w:rPr>
        <w:t xml:space="preserve">    2、202</w:t>
      </w:r>
      <w:r>
        <w:rPr>
          <w:rFonts w:hint="eastAsia" w:ascii="宋体" w:hAnsi="宋体"/>
          <w:b/>
          <w:sz w:val="28"/>
          <w:szCs w:val="28"/>
          <w:highlight w:val="none"/>
          <w:lang w:val="en-US" w:eastAsia="zh-CN"/>
        </w:rPr>
        <w:t>3</w:t>
      </w:r>
      <w:r>
        <w:rPr>
          <w:rFonts w:hint="eastAsia" w:ascii="宋体" w:hAnsi="宋体"/>
          <w:b/>
          <w:sz w:val="28"/>
          <w:szCs w:val="28"/>
          <w:highlight w:val="none"/>
        </w:rPr>
        <w:t>年度部门整体支出绩效</w:t>
      </w:r>
      <w:r>
        <w:rPr>
          <w:rFonts w:hint="eastAsia" w:ascii="宋体" w:hAnsi="宋体"/>
          <w:b/>
          <w:sz w:val="28"/>
          <w:szCs w:val="28"/>
          <w:highlight w:val="none"/>
          <w:lang w:eastAsia="zh-CN"/>
        </w:rPr>
        <w:t>评价自评</w:t>
      </w:r>
      <w:r>
        <w:rPr>
          <w:rFonts w:hint="eastAsia" w:ascii="宋体" w:hAnsi="宋体"/>
          <w:b/>
          <w:sz w:val="28"/>
          <w:szCs w:val="28"/>
          <w:highlight w:val="none"/>
        </w:rPr>
        <w:t>表；</w:t>
      </w:r>
    </w:p>
    <w:p w14:paraId="523C0056">
      <w:pPr>
        <w:spacing w:line="360" w:lineRule="auto"/>
        <w:ind w:firstLine="562" w:firstLineChars="200"/>
        <w:rPr>
          <w:rFonts w:ascii="宋体" w:hAnsi="宋体"/>
          <w:b/>
          <w:sz w:val="28"/>
          <w:szCs w:val="28"/>
          <w:highlight w:val="none"/>
        </w:rPr>
      </w:pPr>
      <w:r>
        <w:rPr>
          <w:rFonts w:hint="eastAsia" w:ascii="宋体" w:hAnsi="宋体"/>
          <w:b/>
          <w:sz w:val="28"/>
          <w:szCs w:val="28"/>
          <w:highlight w:val="none"/>
        </w:rPr>
        <w:t xml:space="preserve">    3、相关佐证资料。</w:t>
      </w:r>
    </w:p>
    <w:p w14:paraId="4B3A7F9E">
      <w:pPr>
        <w:spacing w:line="580" w:lineRule="exact"/>
        <w:ind w:firstLine="5461" w:firstLineChars="1700"/>
        <w:rPr>
          <w:rFonts w:ascii="宋体" w:hAnsi="宋体"/>
          <w:b/>
          <w:sz w:val="32"/>
          <w:szCs w:val="32"/>
        </w:rPr>
      </w:pPr>
    </w:p>
    <w:p w14:paraId="503EA0A9">
      <w:pPr>
        <w:rPr>
          <w:color w:val="0000FF"/>
        </w:rPr>
      </w:pPr>
    </w:p>
    <w:sectPr>
      <w:headerReference r:id="rId3" w:type="default"/>
      <w:footerReference r:id="rId4"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方正小标宋简体">
    <w:altName w:val="Times New Roman"/>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隶书">
    <w:panose1 w:val="0201050906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A330C">
    <w:pPr>
      <w:pStyle w:val="4"/>
      <w:tabs>
        <w:tab w:val="left" w:pos="5796"/>
        <w:tab w:val="clear" w:pos="4153"/>
      </w:tabs>
      <w:rPr>
        <w:rFonts w:hint="eastAsia" w:eastAsia="仿宋_GB2312"/>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139E6AC">
                          <w:pPr>
                            <w:pStyle w:val="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4139E6AC">
                    <w:pPr>
                      <w:pStyle w:val="4"/>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57B1E">
    <w:pPr>
      <w:pStyle w:val="5"/>
    </w:pPr>
    <w:r>
      <w:rPr>
        <w:rFonts w:hint="eastAsia" w:ascii="隶书" w:hAnsi="隶书" w:eastAsia="隶书" w:cs="隶书"/>
        <w:sz w:val="24"/>
        <w:szCs w:val="24"/>
        <w:u w:val="single"/>
        <w:lang w:val="en-US" w:eastAsia="zh-CN"/>
      </w:rPr>
      <w:t xml:space="preserve">                         </w:t>
    </w:r>
    <w:r>
      <w:rPr>
        <w:rFonts w:hint="eastAsia" w:ascii="隶书" w:hAnsi="隶书" w:eastAsia="隶书" w:cs="隶书"/>
        <w:sz w:val="24"/>
        <w:szCs w:val="24"/>
        <w:u w:val="single"/>
        <w:lang w:eastAsia="zh-CN"/>
      </w:rPr>
      <w:t>桃江县住房和城乡建设局</w:t>
    </w:r>
    <w:r>
      <w:rPr>
        <w:rFonts w:hint="eastAsia" w:ascii="隶书" w:hAnsi="隶书" w:eastAsia="隶书" w:cs="隶书"/>
        <w:sz w:val="24"/>
        <w:szCs w:val="24"/>
        <w:u w:val="single"/>
      </w:rPr>
      <w:t>2023年度部门整体支出绩效评价报告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7A709E"/>
    <w:multiLevelType w:val="singleLevel"/>
    <w:tmpl w:val="267A709E"/>
    <w:lvl w:ilvl="0" w:tentative="0">
      <w:start w:val="2"/>
      <w:numFmt w:val="decimal"/>
      <w:suff w:val="nothing"/>
      <w:lvlText w:val="（%1）"/>
      <w:lvlJc w:val="left"/>
    </w:lvl>
  </w:abstractNum>
  <w:abstractNum w:abstractNumId="1">
    <w:nsid w:val="5031E547"/>
    <w:multiLevelType w:val="singleLevel"/>
    <w:tmpl w:val="5031E547"/>
    <w:lvl w:ilvl="0" w:tentative="0">
      <w:start w:val="2"/>
      <w:numFmt w:val="chineseCounting"/>
      <w:suff w:val="nothing"/>
      <w:lvlText w:val="（%1）"/>
      <w:lvlJc w:val="left"/>
      <w:rPr>
        <w:rFonts w:hint="eastAsia"/>
        <w:b/>
        <w:bCs/>
      </w:rPr>
    </w:lvl>
  </w:abstractNum>
  <w:abstractNum w:abstractNumId="2">
    <w:nsid w:val="7658E1CD"/>
    <w:multiLevelType w:val="singleLevel"/>
    <w:tmpl w:val="7658E1CD"/>
    <w:lvl w:ilvl="0" w:tentative="0">
      <w:start w:val="5"/>
      <w:numFmt w:val="upperLetter"/>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mOTZmZjJkYTRmNzdiZGEyODYxZWM2NDY5MzhmNDIifQ=="/>
  </w:docVars>
  <w:rsids>
    <w:rsidRoot w:val="004B5CA8"/>
    <w:rsid w:val="00443541"/>
    <w:rsid w:val="0046375D"/>
    <w:rsid w:val="004B5CA8"/>
    <w:rsid w:val="006D37E9"/>
    <w:rsid w:val="00A2095A"/>
    <w:rsid w:val="00BD2966"/>
    <w:rsid w:val="00D55FBC"/>
    <w:rsid w:val="01437C9C"/>
    <w:rsid w:val="022C6982"/>
    <w:rsid w:val="02314724"/>
    <w:rsid w:val="02510197"/>
    <w:rsid w:val="032633D2"/>
    <w:rsid w:val="033C0E47"/>
    <w:rsid w:val="0374238F"/>
    <w:rsid w:val="03B31109"/>
    <w:rsid w:val="04AC7907"/>
    <w:rsid w:val="05087233"/>
    <w:rsid w:val="050D65F7"/>
    <w:rsid w:val="05410997"/>
    <w:rsid w:val="05545FD4"/>
    <w:rsid w:val="05FD666C"/>
    <w:rsid w:val="0639341C"/>
    <w:rsid w:val="063F6C84"/>
    <w:rsid w:val="06FD08ED"/>
    <w:rsid w:val="07C80EFB"/>
    <w:rsid w:val="07D653C6"/>
    <w:rsid w:val="08397703"/>
    <w:rsid w:val="08931509"/>
    <w:rsid w:val="08DA0EE6"/>
    <w:rsid w:val="0A0C1573"/>
    <w:rsid w:val="0A397E8E"/>
    <w:rsid w:val="0AA23C86"/>
    <w:rsid w:val="0BBA4FFF"/>
    <w:rsid w:val="0C0D1BA3"/>
    <w:rsid w:val="0C913FB2"/>
    <w:rsid w:val="0C931AD8"/>
    <w:rsid w:val="0EBD2E3C"/>
    <w:rsid w:val="0EBE6BB4"/>
    <w:rsid w:val="0EDF4A3D"/>
    <w:rsid w:val="0F1B4006"/>
    <w:rsid w:val="0F5F3EF3"/>
    <w:rsid w:val="0F84395A"/>
    <w:rsid w:val="0F8C4B3B"/>
    <w:rsid w:val="0FBD50BE"/>
    <w:rsid w:val="105E23FD"/>
    <w:rsid w:val="10B22749"/>
    <w:rsid w:val="112A22DF"/>
    <w:rsid w:val="113E3FDC"/>
    <w:rsid w:val="124F46F3"/>
    <w:rsid w:val="12631F4C"/>
    <w:rsid w:val="12EB3CF0"/>
    <w:rsid w:val="13B642FE"/>
    <w:rsid w:val="145A112D"/>
    <w:rsid w:val="14740441"/>
    <w:rsid w:val="14785667"/>
    <w:rsid w:val="148B578A"/>
    <w:rsid w:val="150F1F18"/>
    <w:rsid w:val="16A9014A"/>
    <w:rsid w:val="173C2D6C"/>
    <w:rsid w:val="17742506"/>
    <w:rsid w:val="1833416F"/>
    <w:rsid w:val="185F4F64"/>
    <w:rsid w:val="18E35B95"/>
    <w:rsid w:val="18ED07C2"/>
    <w:rsid w:val="18EF453A"/>
    <w:rsid w:val="1910625E"/>
    <w:rsid w:val="197C1B46"/>
    <w:rsid w:val="1B3F2E2B"/>
    <w:rsid w:val="1C077DEC"/>
    <w:rsid w:val="1C0F0A4F"/>
    <w:rsid w:val="1C1442B7"/>
    <w:rsid w:val="1C220782"/>
    <w:rsid w:val="1C2838BF"/>
    <w:rsid w:val="1CE1063D"/>
    <w:rsid w:val="1D152095"/>
    <w:rsid w:val="1D4330A6"/>
    <w:rsid w:val="1DA5166B"/>
    <w:rsid w:val="1E6E5E48"/>
    <w:rsid w:val="1EBC3110"/>
    <w:rsid w:val="1FE67D19"/>
    <w:rsid w:val="1FEA5A5B"/>
    <w:rsid w:val="1FF77B30"/>
    <w:rsid w:val="20857532"/>
    <w:rsid w:val="20FF72E4"/>
    <w:rsid w:val="2149055F"/>
    <w:rsid w:val="21CF4F08"/>
    <w:rsid w:val="21D342CD"/>
    <w:rsid w:val="21F7620D"/>
    <w:rsid w:val="222F3BF9"/>
    <w:rsid w:val="22F34C27"/>
    <w:rsid w:val="23897339"/>
    <w:rsid w:val="24213A15"/>
    <w:rsid w:val="24885842"/>
    <w:rsid w:val="24961D0D"/>
    <w:rsid w:val="24CE594B"/>
    <w:rsid w:val="252F5CBE"/>
    <w:rsid w:val="265C6F87"/>
    <w:rsid w:val="267E6EFD"/>
    <w:rsid w:val="26834513"/>
    <w:rsid w:val="27455C6D"/>
    <w:rsid w:val="278B7B24"/>
    <w:rsid w:val="283006CB"/>
    <w:rsid w:val="284960FE"/>
    <w:rsid w:val="28FD67FF"/>
    <w:rsid w:val="2A53244F"/>
    <w:rsid w:val="2AA11455"/>
    <w:rsid w:val="2AB0164F"/>
    <w:rsid w:val="2AE15CAC"/>
    <w:rsid w:val="2CE657FC"/>
    <w:rsid w:val="2D9B65E7"/>
    <w:rsid w:val="2DB43204"/>
    <w:rsid w:val="2DC45B3D"/>
    <w:rsid w:val="2DF301D1"/>
    <w:rsid w:val="2DF67CC1"/>
    <w:rsid w:val="2E4B1DBB"/>
    <w:rsid w:val="2E870919"/>
    <w:rsid w:val="2F527179"/>
    <w:rsid w:val="2F7B66D0"/>
    <w:rsid w:val="2FC36B27"/>
    <w:rsid w:val="300A35B0"/>
    <w:rsid w:val="300D4E4E"/>
    <w:rsid w:val="301B756B"/>
    <w:rsid w:val="30A532D8"/>
    <w:rsid w:val="30D53BBD"/>
    <w:rsid w:val="312B7C81"/>
    <w:rsid w:val="319677F1"/>
    <w:rsid w:val="31D245A1"/>
    <w:rsid w:val="3255145A"/>
    <w:rsid w:val="328E671A"/>
    <w:rsid w:val="32D81743"/>
    <w:rsid w:val="32F10A57"/>
    <w:rsid w:val="34AA5361"/>
    <w:rsid w:val="34EE16F2"/>
    <w:rsid w:val="34FA62E8"/>
    <w:rsid w:val="353A0493"/>
    <w:rsid w:val="355359F9"/>
    <w:rsid w:val="35906305"/>
    <w:rsid w:val="35F350BC"/>
    <w:rsid w:val="360D3DFA"/>
    <w:rsid w:val="36394BEF"/>
    <w:rsid w:val="364F61C0"/>
    <w:rsid w:val="3680281D"/>
    <w:rsid w:val="370502AA"/>
    <w:rsid w:val="37C87FD8"/>
    <w:rsid w:val="380354B4"/>
    <w:rsid w:val="38C42E95"/>
    <w:rsid w:val="38D8249D"/>
    <w:rsid w:val="38DD5D05"/>
    <w:rsid w:val="39D4535A"/>
    <w:rsid w:val="39DF785B"/>
    <w:rsid w:val="3A064DE8"/>
    <w:rsid w:val="3A540249"/>
    <w:rsid w:val="3B404329"/>
    <w:rsid w:val="3B9A7EDD"/>
    <w:rsid w:val="3BFD221A"/>
    <w:rsid w:val="3C177780"/>
    <w:rsid w:val="3C221C81"/>
    <w:rsid w:val="3C9B3F0D"/>
    <w:rsid w:val="3CD613E9"/>
    <w:rsid w:val="3CD92C87"/>
    <w:rsid w:val="3D0E6805"/>
    <w:rsid w:val="3D385C00"/>
    <w:rsid w:val="3D4520CB"/>
    <w:rsid w:val="3E4B54BF"/>
    <w:rsid w:val="3ED96F6F"/>
    <w:rsid w:val="3F1C6E5B"/>
    <w:rsid w:val="3F6E3B5B"/>
    <w:rsid w:val="40FC5196"/>
    <w:rsid w:val="413B7A6D"/>
    <w:rsid w:val="4182744A"/>
    <w:rsid w:val="41BD66D4"/>
    <w:rsid w:val="420E33D3"/>
    <w:rsid w:val="43302ED5"/>
    <w:rsid w:val="43E97C54"/>
    <w:rsid w:val="44586B88"/>
    <w:rsid w:val="44896D41"/>
    <w:rsid w:val="451E392D"/>
    <w:rsid w:val="454809AA"/>
    <w:rsid w:val="45575091"/>
    <w:rsid w:val="45CD7101"/>
    <w:rsid w:val="46456C98"/>
    <w:rsid w:val="466E61EE"/>
    <w:rsid w:val="47E86474"/>
    <w:rsid w:val="48427933"/>
    <w:rsid w:val="49956188"/>
    <w:rsid w:val="49C64593"/>
    <w:rsid w:val="4A4F27DB"/>
    <w:rsid w:val="4A673681"/>
    <w:rsid w:val="4AA03036"/>
    <w:rsid w:val="4C547C35"/>
    <w:rsid w:val="4D043409"/>
    <w:rsid w:val="4D0C050F"/>
    <w:rsid w:val="4E41068C"/>
    <w:rsid w:val="4E564138"/>
    <w:rsid w:val="4E9E5ADF"/>
    <w:rsid w:val="4F2935FA"/>
    <w:rsid w:val="4F3E697A"/>
    <w:rsid w:val="4F4641AC"/>
    <w:rsid w:val="4F6C1739"/>
    <w:rsid w:val="4FC275AB"/>
    <w:rsid w:val="501222E0"/>
    <w:rsid w:val="50547B79"/>
    <w:rsid w:val="508A00C9"/>
    <w:rsid w:val="51571164"/>
    <w:rsid w:val="52AA4A52"/>
    <w:rsid w:val="52C12817"/>
    <w:rsid w:val="52DB4C0C"/>
    <w:rsid w:val="52E15F9A"/>
    <w:rsid w:val="53E977FC"/>
    <w:rsid w:val="547277F2"/>
    <w:rsid w:val="54B020C8"/>
    <w:rsid w:val="54CC5154"/>
    <w:rsid w:val="54FE4BE1"/>
    <w:rsid w:val="561F12B3"/>
    <w:rsid w:val="5647080A"/>
    <w:rsid w:val="56BF4844"/>
    <w:rsid w:val="5730129E"/>
    <w:rsid w:val="576C677A"/>
    <w:rsid w:val="57A04676"/>
    <w:rsid w:val="57AC6B77"/>
    <w:rsid w:val="58337298"/>
    <w:rsid w:val="58B02697"/>
    <w:rsid w:val="59060509"/>
    <w:rsid w:val="59975605"/>
    <w:rsid w:val="59B2243E"/>
    <w:rsid w:val="5A0A04CC"/>
    <w:rsid w:val="5A44578C"/>
    <w:rsid w:val="5AFA5E4B"/>
    <w:rsid w:val="5B6065F6"/>
    <w:rsid w:val="5B6D486F"/>
    <w:rsid w:val="5D375134"/>
    <w:rsid w:val="5E127950"/>
    <w:rsid w:val="5EAE58CA"/>
    <w:rsid w:val="5EF57055"/>
    <w:rsid w:val="5FC8476A"/>
    <w:rsid w:val="602C4CF9"/>
    <w:rsid w:val="61F71336"/>
    <w:rsid w:val="623C4F9B"/>
    <w:rsid w:val="628A3F58"/>
    <w:rsid w:val="633D546F"/>
    <w:rsid w:val="641B57B0"/>
    <w:rsid w:val="64202DC6"/>
    <w:rsid w:val="642A77A1"/>
    <w:rsid w:val="643C74D4"/>
    <w:rsid w:val="64A31301"/>
    <w:rsid w:val="64AA6B34"/>
    <w:rsid w:val="64D70FAB"/>
    <w:rsid w:val="65644F35"/>
    <w:rsid w:val="65A92947"/>
    <w:rsid w:val="65E240AB"/>
    <w:rsid w:val="662D17CA"/>
    <w:rsid w:val="671464E6"/>
    <w:rsid w:val="67204E8B"/>
    <w:rsid w:val="6787315C"/>
    <w:rsid w:val="67900263"/>
    <w:rsid w:val="679B2764"/>
    <w:rsid w:val="684E77D6"/>
    <w:rsid w:val="687C2595"/>
    <w:rsid w:val="6884144A"/>
    <w:rsid w:val="68880F3A"/>
    <w:rsid w:val="68E02B24"/>
    <w:rsid w:val="6A641533"/>
    <w:rsid w:val="6A6D03E7"/>
    <w:rsid w:val="6AAD2EDA"/>
    <w:rsid w:val="6AE85CC0"/>
    <w:rsid w:val="6BAA566B"/>
    <w:rsid w:val="6BF15048"/>
    <w:rsid w:val="6C121F68"/>
    <w:rsid w:val="6C262F44"/>
    <w:rsid w:val="6C991968"/>
    <w:rsid w:val="6D036DE1"/>
    <w:rsid w:val="6D5E495F"/>
    <w:rsid w:val="6D7777CF"/>
    <w:rsid w:val="6DDB5FB0"/>
    <w:rsid w:val="6F2F65B3"/>
    <w:rsid w:val="708C533F"/>
    <w:rsid w:val="711315BD"/>
    <w:rsid w:val="71175551"/>
    <w:rsid w:val="71341C5F"/>
    <w:rsid w:val="71662034"/>
    <w:rsid w:val="718F3339"/>
    <w:rsid w:val="71C56D5B"/>
    <w:rsid w:val="71E33685"/>
    <w:rsid w:val="72916C3D"/>
    <w:rsid w:val="73593BFF"/>
    <w:rsid w:val="73A56E44"/>
    <w:rsid w:val="73C13552"/>
    <w:rsid w:val="74145D78"/>
    <w:rsid w:val="742F670E"/>
    <w:rsid w:val="743E4BA3"/>
    <w:rsid w:val="745368A0"/>
    <w:rsid w:val="7501454E"/>
    <w:rsid w:val="75790588"/>
    <w:rsid w:val="75DF5F11"/>
    <w:rsid w:val="75E31EA6"/>
    <w:rsid w:val="7625601A"/>
    <w:rsid w:val="762A7AD4"/>
    <w:rsid w:val="765E152C"/>
    <w:rsid w:val="76EE0B02"/>
    <w:rsid w:val="771542E1"/>
    <w:rsid w:val="771A36A5"/>
    <w:rsid w:val="771F6F0D"/>
    <w:rsid w:val="775A6197"/>
    <w:rsid w:val="775A7F45"/>
    <w:rsid w:val="778C3E77"/>
    <w:rsid w:val="78267E28"/>
    <w:rsid w:val="789456D9"/>
    <w:rsid w:val="78947487"/>
    <w:rsid w:val="78D14237"/>
    <w:rsid w:val="79FA5A10"/>
    <w:rsid w:val="7A3C7DD6"/>
    <w:rsid w:val="7AE00762"/>
    <w:rsid w:val="7B9A6B62"/>
    <w:rsid w:val="7BDF310F"/>
    <w:rsid w:val="7C1E460D"/>
    <w:rsid w:val="7CB1685A"/>
    <w:rsid w:val="7CD04806"/>
    <w:rsid w:val="7E5F66F3"/>
    <w:rsid w:val="7EF24F07"/>
    <w:rsid w:val="7F930498"/>
    <w:rsid w:val="7F9A1A5A"/>
    <w:rsid w:val="7FCB5E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99"/>
  </w:style>
  <w:style w:type="paragraph" w:styleId="3">
    <w:name w:val="Body Text Indent"/>
    <w:basedOn w:val="1"/>
    <w:qFormat/>
    <w:uiPriority w:val="0"/>
    <w:pPr>
      <w:spacing w:line="360" w:lineRule="auto"/>
      <w:ind w:firstLine="560" w:firstLineChars="200"/>
    </w:pPr>
    <w:rPr>
      <w:sz w:val="2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6">
    <w:name w:val="Normal (Web)"/>
    <w:basedOn w:val="1"/>
    <w:qFormat/>
    <w:uiPriority w:val="99"/>
    <w:pPr>
      <w:widowControl/>
      <w:spacing w:before="100" w:beforeAutospacing="1" w:after="100" w:afterAutospacing="1"/>
      <w:jc w:val="left"/>
    </w:pPr>
    <w:rPr>
      <w:rFonts w:ascii="宋体" w:hAnsi="宋体" w:eastAsia="宋体" w:cs="宋体"/>
      <w:kern w:val="0"/>
      <w:sz w:val="24"/>
    </w:rPr>
  </w:style>
  <w:style w:type="paragraph" w:styleId="7">
    <w:name w:val="Body Text First Indent 2"/>
    <w:basedOn w:val="3"/>
    <w:next w:val="1"/>
    <w:qFormat/>
    <w:uiPriority w:val="0"/>
    <w:pPr>
      <w:ind w:firstLine="420" w:firstLineChars="200"/>
    </w:pPr>
  </w:style>
  <w:style w:type="character" w:styleId="10">
    <w:name w:val="page number"/>
    <w:basedOn w:val="9"/>
    <w:qFormat/>
    <w:uiPriority w:val="0"/>
  </w:style>
  <w:style w:type="paragraph" w:customStyle="1" w:styleId="11">
    <w:name w:val="p0"/>
    <w:basedOn w:val="1"/>
    <w:qFormat/>
    <w:uiPriority w:val="0"/>
    <w:pPr>
      <w:widowControl/>
    </w:pPr>
    <w:rPr>
      <w:kern w:val="0"/>
      <w:szCs w:val="21"/>
    </w:rPr>
  </w:style>
  <w:style w:type="paragraph" w:styleId="12">
    <w:name w:val="List Paragraph"/>
    <w:basedOn w:val="1"/>
    <w:qFormat/>
    <w:uiPriority w:val="34"/>
    <w:pPr>
      <w:ind w:firstLine="420" w:firstLineChars="200"/>
    </w:pPr>
    <w:rPr>
      <w:rFonts w:ascii="Calibri" w:hAnsi="Calibri" w:eastAsia="宋体" w:cs="Times New Roman"/>
      <w:szCs w:val="22"/>
    </w:rPr>
  </w:style>
  <w:style w:type="character" w:customStyle="1" w:styleId="13">
    <w:name w:val="font21"/>
    <w:basedOn w:val="9"/>
    <w:qFormat/>
    <w:uiPriority w:val="0"/>
    <w:rPr>
      <w:rFonts w:hint="eastAsia" w:ascii="宋体" w:hAnsi="宋体" w:eastAsia="宋体" w:cs="宋体"/>
      <w:color w:val="0000FF"/>
      <w:sz w:val="24"/>
      <w:szCs w:val="24"/>
      <w:u w:val="none"/>
    </w:rPr>
  </w:style>
  <w:style w:type="character" w:customStyle="1" w:styleId="14">
    <w:name w:val="font11"/>
    <w:basedOn w:val="9"/>
    <w:qFormat/>
    <w:uiPriority w:val="0"/>
    <w:rPr>
      <w:rFonts w:hint="eastAsia" w:ascii="宋体" w:hAnsi="宋体" w:eastAsia="宋体" w:cs="宋体"/>
      <w:color w:val="000000"/>
      <w:sz w:val="24"/>
      <w:szCs w:val="24"/>
      <w:u w:val="none"/>
    </w:rPr>
  </w:style>
  <w:style w:type="character" w:customStyle="1" w:styleId="15">
    <w:name w:val="font3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2702</Words>
  <Characters>2829</Characters>
  <Lines>5</Lines>
  <Paragraphs>1</Paragraphs>
  <TotalTime>19</TotalTime>
  <ScaleCrop>false</ScaleCrop>
  <LinksUpToDate>false</LinksUpToDate>
  <CharactersWithSpaces>2838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2024-06-01T02:51:00Z</dcterms:created>
  <dc:creator>Administrator</dc:creator>
  <cp:lastModifiedBy>晶晶</cp:lastModifiedBy>
  <cp:lastPrinted>2024-07-30T07:30:00Z</cp:lastPrinted>
  <dcterms:modified xsi:type="dcterms:W3CDTF">2024-11-14T13:03:05Z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E98F1E549079414180FE793D06E23301_13</vt:lpwstr>
  </property>
</Properties>
</file>