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5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桃江县公安局</w:t>
      </w:r>
    </w:p>
    <w:p>
      <w:pPr>
        <w:shd w:val="clear" w:color="auto" w:fill="FFFFFF"/>
        <w:spacing w:after="0" w:line="500" w:lineRule="exact"/>
        <w:ind w:firstLine="880" w:firstLineChars="200"/>
        <w:jc w:val="center"/>
        <w:rPr>
          <w:rFonts w:ascii="宋体" w:hAnsi="宋体" w:eastAsia="宋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4年法治政府建设工作情况报告</w:t>
      </w:r>
    </w:p>
    <w:p>
      <w:pPr>
        <w:shd w:val="clear" w:color="auto" w:fill="FFFFFF"/>
        <w:spacing w:after="0" w:line="600" w:lineRule="exact"/>
        <w:ind w:firstLine="880" w:firstLineChars="200"/>
        <w:jc w:val="center"/>
        <w:rPr>
          <w:rFonts w:ascii="宋体" w:hAnsi="宋体" w:eastAsia="宋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2024年，桃江县公安局在县委、县政府和上级公安机关的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正确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领导下，坚持以习近平新时代中国特色社会主义思想为指导，深入贯彻习近平法治思想，全面推进法治政府建设，建设法治桃江。现将推进法治政府建设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情况报告如下：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一、强化组织保障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党委高度重视依法治县工作，坚持以法治建设为契机促进公安队伍建设，推动执法工作，全面落实《党政主要负责人履行推进法治建设第一责任人职责》要求。县局成立依法治县工作领导小组，由县人民政府副县长、</w:t>
      </w:r>
      <w:bookmarkStart w:id="0" w:name="Bookmark4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公安局长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任组长，其他党委成员任副组长，局属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负责人为成员。领导小组下设办公室，办公室设在法制大队，明确由法制分管局领导负责，法制大队办理日常事务，切实形成局主要领导负总责、分管领导具体抓、二级机构负责人抓落实</w:t>
      </w:r>
      <w:bookmarkStart w:id="1" w:name="Bookmark5"/>
      <w:bookmarkStart w:id="2" w:name="OverlapBookmark1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</w:t>
      </w:r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良</w:t>
      </w:r>
      <w:bookmarkEnd w:id="2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好机制。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二、落实依法行政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3" w:name="Bookmark2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（一）深化“放管服”改革</w:t>
      </w:r>
      <w:bookmarkEnd w:id="3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。对行政审批事项清单实行目录化、编码化、动态化管理，并在互联网+政务平台上进行公示、管理、运用，全面推行审批服务“马上办、网上办、就近办、一次办”，提高政务服务水平。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严格落实执法公示、执法全过程记录和重大执法决定法制审核“三项制度”。在“阳光警务平台”对行政处罚进行公示公开，民警执法一律亮明身份，配发警官证，执法过程中一律使用执法记录仪。县局建立健全案件审核机制，严格落实案件审核工作规范，对所有案件实行案件主办民警初审、办案单位一把手审核并提出处理意见、派</w:t>
      </w:r>
      <w:bookmarkStart w:id="23" w:name="_GoBack"/>
      <w:bookmarkEnd w:id="23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驻法制监督员审核把关、分管法制局领导审批的层级审核制度。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持续优化营商环境。完善“项目警官”制度，走访帮扶企业210家，保障全县97个重点项目落地建设，为企业发展提供有力法治保障。推进“生态三湘”专项行动，森林资源破坏、生态环境污染类警情下降29.7%，助力完成竹旅文体康产业融合发展“十大工程”。集中开展专项治理，有效优化久通锑业等重点企业生产经营环境。重拳打击侵害民营企业合法权益等违法犯罪，侦办侵犯知识产权、制假售假、盗窃公私财物、扰乱秩序等案件58起。深化“放管服”改革，推动一大批便民利企举措落地，11万多群众享受到全流程网办、跨省通办、一件事一次办等公安政务服务便利，人境大队被省公安厅评为全省深入打击妨害国（边）境管理犯罪“獴猎”行动2023成绩突出集体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（四）持续推进</w:t>
      </w:r>
      <w:bookmarkStart w:id="4" w:name="Bookmark15"/>
      <w:bookmarkStart w:id="5" w:name="OverlapBookmark4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</w:t>
      </w:r>
      <w:bookmarkStart w:id="6" w:name="Bookmark16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双随机一公开</w:t>
      </w:r>
      <w:bookmarkEnd w:id="6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</w:t>
      </w:r>
      <w:bookmarkEnd w:id="4"/>
      <w:bookmarkEnd w:id="5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。一是定期更新名录库。对执法人员名录管理、检查对象名录管理进行维护，</w:t>
      </w:r>
      <w:bookmarkStart w:id="7" w:name="Bookmark17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</w:t>
      </w:r>
      <w:bookmarkEnd w:id="7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调整更新检查对象名录库和执法人员名录库，确保“一单两库”准确更新，做到与实际同步。二是完善抽查机制。年初制定抽查计划，按计划发起检查任务，并按要求联合市场监督管理局等职能部门对电竞酒店、网吧等开展部门联合双随机检查。三是确保随机抽取合理性。随机抽取检查对象，在检查对象名录库中随机选择检查对象，在同一季度内已抽查的检查对象，予以排除，尽可能减少对营业场所的干扰；随机选派执法人员。在执法检查人员名录库中随机匹配执法检查人员，每组检查人员不少于2人。凡检查人员与被查对象存在利害关系等不适宜参加执法检查的，</w:t>
      </w:r>
      <w:bookmarkStart w:id="8" w:name="Bookmark18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</w:t>
      </w:r>
      <w:bookmarkEnd w:id="8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予以调整，并重新随机抽取替代执法检查人员。四是明确抽查比例合理性。根据抽查对象的数量与级别分类合理确定、动态调整抽查比例，既保证必要的抽查覆盖面和抽查效果，又有效防止任意检查和执法扰民。五是认真组织实施。检查前，组织抽查检查力量进行业务培训，按照“双随机、一公开”的要求，认真做好抽查检查工作，确保各项任务落实到位。抽取后，</w:t>
      </w:r>
      <w:bookmarkStart w:id="9" w:name="Bookmark19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</w:t>
      </w:r>
      <w:bookmarkEnd w:id="9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时督促各单位开展检查。检查后，各部门上传系统人员严格把关，在检查后20日内及时公示。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10" w:name="Bookmark3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提升</w:t>
      </w:r>
      <w:bookmarkEnd w:id="1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执法公信力。坚持习近平法治思想为引领，采取刚性与柔性相结合的执法方式，注重执法过程中的释理说法，最大限度实现执法法律效果和社会效果相统一。加强法治培训，组织民警参加法治培训、法治大讲堂15</w:t>
      </w:r>
      <w:bookmarkStart w:id="11" w:name="Bookmark21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期</w:t>
      </w:r>
      <w:bookmarkEnd w:id="11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，受训民警1500余人次，教育训练工作获评“2023-2024年全省公安教育训练工作成绩突出集体”。严格落实执法规范化建设制度，</w:t>
      </w:r>
      <w:bookmarkStart w:id="12" w:name="Bookmark31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</w:t>
      </w:r>
      <w:bookmarkEnd w:id="12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严格规范公正文明执法为重点，</w:t>
      </w:r>
      <w:bookmarkStart w:id="13" w:name="Bookmark32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</w:t>
      </w:r>
      <w:bookmarkEnd w:id="13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民群众满意为标准，着力解决执法不严等突出问题，坚持细化执法办案活动，对各办案单位在受立案、办案场所使用、涉案财物管理进行全流程监督管理，大力提高群众对公安工作的执法满意度，不断提升公安机关在群众中的执法形象和执法公信力。所有案</w:t>
      </w:r>
      <w:bookmarkStart w:id="14" w:name="Bookmark8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</w:t>
      </w:r>
      <w:bookmarkEnd w:id="14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受理开始到每一步程序均录入执法办案系统，实行零线下办案，进一步完善行政执法与刑事司法衔接机制。认真履行行政复议被申请人职责，</w:t>
      </w:r>
      <w:bookmarkStart w:id="15" w:name="Bookmark11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</w:t>
      </w:r>
      <w:bookmarkEnd w:id="15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时提交行政复议答复材料，依法履行行政复议决定。落实行政机关负责人出庭应诉制度，全年行政诉讼无败诉。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三、强化普法工作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持续深入开展宪法宣传教育和</w:t>
      </w:r>
      <w:bookmarkStart w:id="16" w:name="Bookmark25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中华人民共和国民法典</w:t>
      </w:r>
      <w:bookmarkEnd w:id="16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的宣传普及，深入学习宣传党内法规，</w:t>
      </w:r>
      <w:bookmarkStart w:id="17" w:name="Bookmark26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与</w:t>
      </w:r>
      <w:bookmarkEnd w:id="17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促进高质量发展、助推“三高四新”战略实施相关的法律法规，深入宣传与社会治理现代化密切相关的法律法规，深入宣传促进高质量发展、助推全县重大发展战略实施相关的法律法规等，重点宣传普及宪法、</w:t>
      </w:r>
      <w:bookmarkStart w:id="18" w:name="Bookmark27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民法典</w:t>
      </w:r>
      <w:bookmarkEnd w:id="18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bookmarkStart w:id="19" w:name="Bookmark28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刑法</w:t>
      </w:r>
      <w:bookmarkEnd w:id="19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刑事诉讼法、治安管理处罚法、行政处罚法、行政复议法等法律法规。深入贯彻落实“谁执法谁普法”责任制，结合工作实际，制定了《桃江县公安局普法责任清单》《桃江县公安局2024年度普法重点任务清单》，严格落实领导干部年终述法制度，</w:t>
      </w:r>
      <w:bookmarkStart w:id="20" w:name="Bookmark22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党委</w:t>
      </w:r>
      <w:bookmarkStart w:id="21" w:name="Bookmark23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理论学习中心组</w:t>
      </w:r>
      <w:bookmarkEnd w:id="20"/>
      <w:bookmarkEnd w:id="21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年内集中学法2次以上，深入学习宣传贯彻党的二十大精神和习近平法治思想，2024年学法考法工作</w:t>
      </w:r>
      <w:bookmarkStart w:id="22" w:name="Bookmark24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参与</w:t>
      </w:r>
      <w:bookmarkEnd w:id="22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通过率均达100%。深入开展“法律进学校”活动，加强青少年法治教育。派出所对辖区学校明确“法治副校长”人员及职责，定期进校园开展相关法律宣传。深入开展“法律进乡村”活动，充分利用“农村法律宣传月”及各类宣传节点，开展多种形式“送法下乡”活动。深入开展“法律进社区、进家庭”活动，认真开展社区居民法律宣传教育。利用党员进社区走访、每季度社区活动、宣传车辆标语等形式广泛开展法治宣传活动。深入开展“法律进企业”活动，加强企业经营管理人员法治教育，对企业进行安全生产集中检查。积极推进以案释法工作。县局通过微信公众号“桃江警讯”，重点发布易发多发、群众反映强烈、社会关注广泛的案例，对案件的主要事实，触犯的法律条文，违法犯罪的主要表现形式及防范措施进行了有针对性的释法，进一步增强全民知法守法意识。</w:t>
      </w:r>
    </w:p>
    <w:sectPr>
      <w:headerReference r:id="rId6" w:type="first"/>
      <w:headerReference r:id="rId4" w:type="default"/>
      <w:footerReference r:id="rId7" w:type="default"/>
      <w:headerReference r:id="rId5" w:type="even"/>
      <w:pgSz w:w="11906" w:h="16838"/>
      <w:pgMar w:top="1984" w:right="1417" w:bottom="1587" w:left="1587" w:header="708" w:footer="709" w:gutter="0"/>
      <w:pgNumType w:fmt="numberInDash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4155"/>
    <w:rsid w:val="00113A76"/>
    <w:rsid w:val="00182442"/>
    <w:rsid w:val="001E32A4"/>
    <w:rsid w:val="0024118C"/>
    <w:rsid w:val="00272A23"/>
    <w:rsid w:val="003176F2"/>
    <w:rsid w:val="00323B43"/>
    <w:rsid w:val="003578EC"/>
    <w:rsid w:val="003D37D8"/>
    <w:rsid w:val="00423930"/>
    <w:rsid w:val="00424C90"/>
    <w:rsid w:val="00426133"/>
    <w:rsid w:val="004358AB"/>
    <w:rsid w:val="00512C46"/>
    <w:rsid w:val="00587084"/>
    <w:rsid w:val="00587AF8"/>
    <w:rsid w:val="005B2EDD"/>
    <w:rsid w:val="005D4F09"/>
    <w:rsid w:val="006C626C"/>
    <w:rsid w:val="00770ED0"/>
    <w:rsid w:val="00773917"/>
    <w:rsid w:val="00780FBF"/>
    <w:rsid w:val="008A3343"/>
    <w:rsid w:val="008B7726"/>
    <w:rsid w:val="008D2D16"/>
    <w:rsid w:val="00945F30"/>
    <w:rsid w:val="009D1A84"/>
    <w:rsid w:val="00A15C1E"/>
    <w:rsid w:val="00A97BC4"/>
    <w:rsid w:val="00AB6211"/>
    <w:rsid w:val="00AE6F4E"/>
    <w:rsid w:val="00B33DD3"/>
    <w:rsid w:val="00B75290"/>
    <w:rsid w:val="00C12D15"/>
    <w:rsid w:val="00C22477"/>
    <w:rsid w:val="00C35C71"/>
    <w:rsid w:val="00D12D49"/>
    <w:rsid w:val="00D2229A"/>
    <w:rsid w:val="00D31477"/>
    <w:rsid w:val="00D31D50"/>
    <w:rsid w:val="00D816F9"/>
    <w:rsid w:val="00D836BE"/>
    <w:rsid w:val="00DA0A52"/>
    <w:rsid w:val="00DA7CB8"/>
    <w:rsid w:val="00DC5CA3"/>
    <w:rsid w:val="00E06950"/>
    <w:rsid w:val="00E40561"/>
    <w:rsid w:val="00F55C35"/>
    <w:rsid w:val="00F723CA"/>
    <w:rsid w:val="00FA703B"/>
    <w:rsid w:val="01A003D5"/>
    <w:rsid w:val="049031F8"/>
    <w:rsid w:val="055F2A5D"/>
    <w:rsid w:val="070A631C"/>
    <w:rsid w:val="0AFD0D6B"/>
    <w:rsid w:val="0C273222"/>
    <w:rsid w:val="118A0FD0"/>
    <w:rsid w:val="14C111C1"/>
    <w:rsid w:val="151E5632"/>
    <w:rsid w:val="17FF12C0"/>
    <w:rsid w:val="1CD57563"/>
    <w:rsid w:val="1E345B9A"/>
    <w:rsid w:val="21CD774A"/>
    <w:rsid w:val="22AA7643"/>
    <w:rsid w:val="22AD02F2"/>
    <w:rsid w:val="238E2694"/>
    <w:rsid w:val="273E4FE9"/>
    <w:rsid w:val="27B222AE"/>
    <w:rsid w:val="2A5B16ED"/>
    <w:rsid w:val="2B991C14"/>
    <w:rsid w:val="2DA54273"/>
    <w:rsid w:val="311F12DD"/>
    <w:rsid w:val="397C3FDE"/>
    <w:rsid w:val="416008F0"/>
    <w:rsid w:val="41A3449A"/>
    <w:rsid w:val="43072BC6"/>
    <w:rsid w:val="43384BCB"/>
    <w:rsid w:val="482A6AF8"/>
    <w:rsid w:val="49B95283"/>
    <w:rsid w:val="538571A2"/>
    <w:rsid w:val="53B81EE5"/>
    <w:rsid w:val="54412AB0"/>
    <w:rsid w:val="553A5D2B"/>
    <w:rsid w:val="58F07422"/>
    <w:rsid w:val="59B14918"/>
    <w:rsid w:val="5F274BAB"/>
    <w:rsid w:val="62153F79"/>
    <w:rsid w:val="62762670"/>
    <w:rsid w:val="68EC05FF"/>
    <w:rsid w:val="6B276493"/>
    <w:rsid w:val="72CB0B0D"/>
    <w:rsid w:val="733D0B73"/>
    <w:rsid w:val="762C0D71"/>
    <w:rsid w:val="7E424E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footnote text"/>
    <w:basedOn w:val="1"/>
    <w:link w:val="13"/>
    <w:qFormat/>
    <w:uiPriority w:val="99"/>
    <w:pPr>
      <w:widowControl w:val="0"/>
      <w:adjustRightInd/>
      <w:spacing w:after="0"/>
    </w:pPr>
    <w:rPr>
      <w:rFonts w:ascii="Calibri" w:hAnsi="Calibri" w:eastAsia="宋体"/>
      <w:kern w:val="2"/>
      <w:sz w:val="18"/>
      <w:szCs w:val="18"/>
    </w:rPr>
  </w:style>
  <w:style w:type="paragraph" w:styleId="7">
    <w:name w:val="Normal (Web)"/>
    <w:basedOn w:val="1"/>
    <w:qFormat/>
    <w:uiPriority w:val="99"/>
    <w:pPr>
      <w:spacing w:after="150"/>
    </w:pPr>
    <w:rPr>
      <w:rFonts w:ascii="宋体" w:hAnsi="宋体" w:eastAsia="宋体" w:cs="宋体"/>
      <w:sz w:val="24"/>
      <w:szCs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customStyle="1" w:styleId="11">
    <w:name w:val="页脚 Char"/>
    <w:basedOn w:val="9"/>
    <w:link w:val="4"/>
    <w:semiHidden/>
    <w:qFormat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12">
    <w:name w:val="页眉 Char"/>
    <w:basedOn w:val="9"/>
    <w:link w:val="5"/>
    <w:qFormat/>
    <w:locked/>
    <w:uiPriority w:val="99"/>
    <w:rPr>
      <w:rFonts w:ascii="Tahoma" w:hAnsi="Tahoma" w:cs="Times New Roman"/>
      <w:sz w:val="22"/>
      <w:szCs w:val="22"/>
    </w:rPr>
  </w:style>
  <w:style w:type="character" w:customStyle="1" w:styleId="13">
    <w:name w:val="脚注文本 Char"/>
    <w:basedOn w:val="9"/>
    <w:link w:val="6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5</Pages>
  <Words>377</Words>
  <Characters>2152</Characters>
  <Lines>17</Lines>
  <Paragraphs>5</Paragraphs>
  <TotalTime>941</TotalTime>
  <ScaleCrop>false</ScaleCrop>
  <LinksUpToDate>false</LinksUpToDate>
  <CharactersWithSpaces>2524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2023-12-13T07:20:00Z</dcterms:created>
  <dc:creator>Administrator</dc:creator>
  <cp:lastModifiedBy>Administrator</cp:lastModifiedBy>
  <cp:lastPrinted>2025-04-11T00:18:58Z</cp:lastPrinted>
  <dcterms:modified xsi:type="dcterms:W3CDTF">2025-04-11T00:26:39Z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9FA826F795604BAD9B82A2083BABE973_13</vt:lpwstr>
  </property>
  <property fmtid="{D5CDD505-2E9C-101B-9397-08002B2CF9AE}" pid="4" name="KSOTemplateDocerSaveRecord">
    <vt:lpwstr>eyJoZGlkIjoiZWVhMDA4YTZmZDA4MmI4MGFmYzhkYmFmNGJiOGY2OWIiLCJ1c2VySWQiOiIyNDk4MzExMzgifQ==</vt:lpwstr>
  </property>
</Properties>
</file>