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98D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eastAsia="方正小标宋简体"/>
          <w:bCs/>
          <w:kern w:val="0"/>
          <w:sz w:val="44"/>
          <w:szCs w:val="44"/>
        </w:rPr>
        <w:t>年度项目支出绩效自评表</w:t>
      </w:r>
    </w:p>
    <w:tbl>
      <w:tblPr>
        <w:tblStyle w:val="3"/>
        <w:tblpPr w:leftFromText="180" w:rightFromText="180" w:vertAnchor="text" w:horzAnchor="page" w:tblpX="1227" w:tblpY="172"/>
        <w:tblOverlap w:val="never"/>
        <w:tblW w:w="9720" w:type="dxa"/>
        <w:tblInd w:w="-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00"/>
        <w:gridCol w:w="940"/>
        <w:gridCol w:w="1353"/>
        <w:gridCol w:w="1127"/>
        <w:gridCol w:w="1190"/>
        <w:gridCol w:w="788"/>
        <w:gridCol w:w="875"/>
        <w:gridCol w:w="1327"/>
      </w:tblGrid>
      <w:tr w14:paraId="6456D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060" w:type="dxa"/>
            <w:gridSpan w:val="3"/>
            <w:noWrap w:val="0"/>
            <w:vAlign w:val="center"/>
          </w:tcPr>
          <w:p w14:paraId="4B7581A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6660" w:type="dxa"/>
            <w:gridSpan w:val="6"/>
            <w:noWrap w:val="0"/>
            <w:vAlign w:val="center"/>
          </w:tcPr>
          <w:p w14:paraId="6B0BE216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2024年非税收入执收成本</w:t>
            </w:r>
          </w:p>
        </w:tc>
      </w:tr>
      <w:tr w14:paraId="6E43D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noWrap w:val="0"/>
            <w:vAlign w:val="center"/>
          </w:tcPr>
          <w:p w14:paraId="219F555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44A4001B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桃江县财政局</w:t>
            </w:r>
          </w:p>
        </w:tc>
        <w:tc>
          <w:tcPr>
            <w:tcW w:w="1190" w:type="dxa"/>
            <w:noWrap w:val="0"/>
            <w:vAlign w:val="center"/>
          </w:tcPr>
          <w:p w14:paraId="1517F8F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990" w:type="dxa"/>
            <w:gridSpan w:val="3"/>
            <w:noWrap w:val="0"/>
            <w:vAlign w:val="center"/>
          </w:tcPr>
          <w:p w14:paraId="1352A5CB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桃江县住房保障服务中心</w:t>
            </w:r>
          </w:p>
        </w:tc>
      </w:tr>
      <w:tr w14:paraId="60100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 w14:paraId="292E2C5B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F33DB8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FA59E5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项目资金</w:t>
            </w:r>
          </w:p>
          <w:p w14:paraId="73FE0B82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 w14:paraId="6958721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 w14:paraId="3561F53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27" w:type="dxa"/>
            <w:noWrap w:val="0"/>
            <w:vAlign w:val="center"/>
          </w:tcPr>
          <w:p w14:paraId="3F41466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190" w:type="dxa"/>
            <w:noWrap w:val="0"/>
            <w:vAlign w:val="center"/>
          </w:tcPr>
          <w:p w14:paraId="49F0168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88" w:type="dxa"/>
            <w:noWrap w:val="0"/>
            <w:vAlign w:val="center"/>
          </w:tcPr>
          <w:p w14:paraId="76EEA13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75" w:type="dxa"/>
            <w:noWrap w:val="0"/>
            <w:vAlign w:val="center"/>
          </w:tcPr>
          <w:p w14:paraId="7A8F49D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327" w:type="dxa"/>
            <w:noWrap w:val="0"/>
            <w:vAlign w:val="center"/>
          </w:tcPr>
          <w:p w14:paraId="60405D4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</w:tr>
      <w:tr w14:paraId="3DC5C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2F406CD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40BC4AFA">
            <w:pPr>
              <w:autoSpaceDE w:val="0"/>
              <w:autoSpaceDN w:val="0"/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353" w:type="dxa"/>
            <w:noWrap w:val="0"/>
            <w:vAlign w:val="center"/>
          </w:tcPr>
          <w:p w14:paraId="3176B0A7">
            <w:pPr>
              <w:autoSpaceDE w:val="0"/>
              <w:autoSpaceDN w:val="0"/>
              <w:spacing w:line="32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noWrap w:val="0"/>
            <w:vAlign w:val="center"/>
          </w:tcPr>
          <w:p w14:paraId="352BDBDB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958.63</w:t>
            </w:r>
          </w:p>
        </w:tc>
        <w:tc>
          <w:tcPr>
            <w:tcW w:w="1190" w:type="dxa"/>
            <w:noWrap w:val="0"/>
            <w:vAlign w:val="center"/>
          </w:tcPr>
          <w:p w14:paraId="5B42BB32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958.63</w:t>
            </w:r>
          </w:p>
        </w:tc>
        <w:tc>
          <w:tcPr>
            <w:tcW w:w="788" w:type="dxa"/>
            <w:noWrap w:val="0"/>
            <w:vAlign w:val="center"/>
          </w:tcPr>
          <w:p w14:paraId="694A151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75" w:type="dxa"/>
            <w:noWrap w:val="0"/>
            <w:vAlign w:val="center"/>
          </w:tcPr>
          <w:p w14:paraId="7DEA8FDE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27" w:type="dxa"/>
            <w:noWrap w:val="0"/>
            <w:vAlign w:val="center"/>
          </w:tcPr>
          <w:p w14:paraId="4FD8B9DC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95E5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26569FB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4183195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1353" w:type="dxa"/>
            <w:noWrap w:val="0"/>
            <w:vAlign w:val="center"/>
          </w:tcPr>
          <w:p w14:paraId="3A717BA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26A9B560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958.63</w:t>
            </w:r>
          </w:p>
        </w:tc>
        <w:tc>
          <w:tcPr>
            <w:tcW w:w="1190" w:type="dxa"/>
            <w:noWrap w:val="0"/>
            <w:vAlign w:val="center"/>
          </w:tcPr>
          <w:p w14:paraId="45387DB0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958.63</w:t>
            </w:r>
          </w:p>
        </w:tc>
        <w:tc>
          <w:tcPr>
            <w:tcW w:w="788" w:type="dxa"/>
            <w:noWrap w:val="0"/>
            <w:vAlign w:val="center"/>
          </w:tcPr>
          <w:p w14:paraId="2A4863D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noWrap w:val="0"/>
            <w:vAlign w:val="center"/>
          </w:tcPr>
          <w:p w14:paraId="60CD9F4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645FE8A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148D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33DC990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702BE76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 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1353" w:type="dxa"/>
            <w:noWrap w:val="0"/>
            <w:vAlign w:val="center"/>
          </w:tcPr>
          <w:p w14:paraId="5A8E974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94F8D4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7AB8FF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 w14:paraId="19301AD6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noWrap w:val="0"/>
            <w:vAlign w:val="center"/>
          </w:tcPr>
          <w:p w14:paraId="1461DDA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4CB4B37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C972B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continue"/>
            <w:noWrap w:val="0"/>
            <w:vAlign w:val="center"/>
          </w:tcPr>
          <w:p w14:paraId="04E9A97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noWrap w:val="0"/>
            <w:vAlign w:val="center"/>
          </w:tcPr>
          <w:p w14:paraId="505D713C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353" w:type="dxa"/>
            <w:noWrap w:val="0"/>
            <w:vAlign w:val="center"/>
          </w:tcPr>
          <w:p w14:paraId="22A40CC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noWrap w:val="0"/>
            <w:vAlign w:val="center"/>
          </w:tcPr>
          <w:p w14:paraId="1877EE01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488ED6B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 w14:paraId="6A0FA79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noWrap w:val="0"/>
            <w:vAlign w:val="center"/>
          </w:tcPr>
          <w:p w14:paraId="2E70388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24F366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B032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20" w:type="dxa"/>
            <w:vMerge w:val="restart"/>
            <w:noWrap w:val="0"/>
            <w:vAlign w:val="center"/>
          </w:tcPr>
          <w:p w14:paraId="552DAA80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年度总体</w:t>
            </w:r>
          </w:p>
          <w:p w14:paraId="43513F1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520" w:type="dxa"/>
            <w:gridSpan w:val="4"/>
            <w:noWrap w:val="0"/>
            <w:vAlign w:val="center"/>
          </w:tcPr>
          <w:p w14:paraId="509C1A67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180" w:type="dxa"/>
            <w:gridSpan w:val="4"/>
            <w:noWrap w:val="0"/>
            <w:vAlign w:val="center"/>
          </w:tcPr>
          <w:p w14:paraId="35DAD275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6BD77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020" w:type="dxa"/>
            <w:vMerge w:val="continue"/>
            <w:noWrap w:val="0"/>
            <w:vAlign w:val="top"/>
          </w:tcPr>
          <w:p w14:paraId="536E9AD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520" w:type="dxa"/>
            <w:gridSpan w:val="4"/>
            <w:noWrap w:val="0"/>
            <w:vAlign w:val="top"/>
          </w:tcPr>
          <w:p w14:paraId="2CEC34C9"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公共租赁住房的后续管理及维修，完成租金收入800万元；进一步加强国有资产的处置。</w:t>
            </w:r>
          </w:p>
        </w:tc>
        <w:tc>
          <w:tcPr>
            <w:tcW w:w="4180" w:type="dxa"/>
            <w:gridSpan w:val="4"/>
            <w:noWrap w:val="0"/>
            <w:vAlign w:val="top"/>
          </w:tcPr>
          <w:p w14:paraId="3C5B392F">
            <w:pPr>
              <w:autoSpaceDE w:val="0"/>
              <w:autoSpaceDN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完成公共租赁住房租金收入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1218万元，完成国有资产处置收入793万元。</w:t>
            </w:r>
          </w:p>
        </w:tc>
      </w:tr>
      <w:tr w14:paraId="23B8F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20" w:type="dxa"/>
            <w:vMerge w:val="restart"/>
            <w:noWrap w:val="0"/>
            <w:vAlign w:val="top"/>
          </w:tcPr>
          <w:p w14:paraId="0B4746A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156E94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B82DEF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D45AFA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96FCFF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29C880A">
            <w:pPr>
              <w:autoSpaceDE w:val="0"/>
              <w:autoSpaceDN w:val="0"/>
              <w:spacing w:before="20" w:line="30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80989A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绩</w:t>
            </w:r>
          </w:p>
          <w:p w14:paraId="1702C94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</w:t>
            </w:r>
          </w:p>
          <w:p w14:paraId="6949FA7F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</w:t>
            </w:r>
          </w:p>
          <w:p w14:paraId="329B267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100" w:type="dxa"/>
            <w:noWrap w:val="0"/>
            <w:vAlign w:val="top"/>
          </w:tcPr>
          <w:p w14:paraId="73A779E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0" w:type="dxa"/>
            <w:noWrap w:val="0"/>
            <w:vAlign w:val="top"/>
          </w:tcPr>
          <w:p w14:paraId="591AF8E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53" w:type="dxa"/>
            <w:noWrap w:val="0"/>
            <w:vAlign w:val="top"/>
          </w:tcPr>
          <w:p w14:paraId="035F0DA9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7" w:type="dxa"/>
            <w:noWrap w:val="0"/>
            <w:vAlign w:val="top"/>
          </w:tcPr>
          <w:p w14:paraId="69863C5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190" w:type="dxa"/>
            <w:noWrap w:val="0"/>
            <w:vAlign w:val="top"/>
          </w:tcPr>
          <w:p w14:paraId="24AA768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88" w:type="dxa"/>
            <w:noWrap w:val="0"/>
            <w:vAlign w:val="top"/>
          </w:tcPr>
          <w:p w14:paraId="6E8D0B4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75" w:type="dxa"/>
            <w:noWrap w:val="0"/>
            <w:vAlign w:val="top"/>
          </w:tcPr>
          <w:p w14:paraId="75706323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327" w:type="dxa"/>
            <w:noWrap w:val="0"/>
            <w:vAlign w:val="top"/>
          </w:tcPr>
          <w:p w14:paraId="7952E56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偏差原因分析</w:t>
            </w:r>
          </w:p>
          <w:p w14:paraId="6F086BE6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279BF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1020" w:type="dxa"/>
            <w:vMerge w:val="continue"/>
            <w:noWrap w:val="0"/>
            <w:vAlign w:val="top"/>
          </w:tcPr>
          <w:p w14:paraId="32595D1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 w14:paraId="7E31150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E22055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BB0E4D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产出指标</w:t>
            </w:r>
          </w:p>
          <w:p w14:paraId="6BB615C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50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 w14:paraId="1A57BB9D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数量</w:t>
            </w:r>
          </w:p>
          <w:p w14:paraId="03FA3B0F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353" w:type="dxa"/>
            <w:noWrap w:val="0"/>
            <w:vAlign w:val="top"/>
          </w:tcPr>
          <w:p w14:paraId="1BED38AA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公共租赁住房租金</w:t>
            </w:r>
          </w:p>
        </w:tc>
        <w:tc>
          <w:tcPr>
            <w:tcW w:w="1127" w:type="dxa"/>
            <w:noWrap w:val="0"/>
            <w:vAlign w:val="top"/>
          </w:tcPr>
          <w:p w14:paraId="3D514A74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800万元</w:t>
            </w:r>
          </w:p>
        </w:tc>
        <w:tc>
          <w:tcPr>
            <w:tcW w:w="1190" w:type="dxa"/>
            <w:noWrap w:val="0"/>
            <w:vAlign w:val="top"/>
          </w:tcPr>
          <w:p w14:paraId="0A14D7B8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1218万元</w:t>
            </w:r>
          </w:p>
        </w:tc>
        <w:tc>
          <w:tcPr>
            <w:tcW w:w="788" w:type="dxa"/>
            <w:noWrap w:val="0"/>
            <w:vAlign w:val="top"/>
          </w:tcPr>
          <w:p w14:paraId="6D6CC561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54EA9EAD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026B392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9B91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020" w:type="dxa"/>
            <w:vMerge w:val="continue"/>
            <w:noWrap w:val="0"/>
            <w:vAlign w:val="top"/>
          </w:tcPr>
          <w:p w14:paraId="5C3CCA4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54E6AE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39F8873E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top"/>
          </w:tcPr>
          <w:p w14:paraId="2AA1CC2B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国有资产处置收入</w:t>
            </w:r>
          </w:p>
        </w:tc>
        <w:tc>
          <w:tcPr>
            <w:tcW w:w="1127" w:type="dxa"/>
            <w:noWrap w:val="0"/>
            <w:vAlign w:val="top"/>
          </w:tcPr>
          <w:p w14:paraId="2BCB2F2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500万元</w:t>
            </w:r>
          </w:p>
        </w:tc>
        <w:tc>
          <w:tcPr>
            <w:tcW w:w="1190" w:type="dxa"/>
            <w:noWrap w:val="0"/>
            <w:vAlign w:val="top"/>
          </w:tcPr>
          <w:p w14:paraId="78BD62AB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793万元</w:t>
            </w:r>
          </w:p>
        </w:tc>
        <w:tc>
          <w:tcPr>
            <w:tcW w:w="788" w:type="dxa"/>
            <w:noWrap w:val="0"/>
            <w:vAlign w:val="top"/>
          </w:tcPr>
          <w:p w14:paraId="4437F4B4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2C73E338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56FAF3CE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2496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 w14:paraId="1A2F2B3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7B915E7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 w14:paraId="08FB9B0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质量</w:t>
            </w:r>
          </w:p>
          <w:p w14:paraId="7ED4BCD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353" w:type="dxa"/>
            <w:noWrap w:val="0"/>
            <w:vAlign w:val="top"/>
          </w:tcPr>
          <w:p w14:paraId="73381390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预算执行率</w:t>
            </w:r>
          </w:p>
        </w:tc>
        <w:tc>
          <w:tcPr>
            <w:tcW w:w="1127" w:type="dxa"/>
            <w:noWrap w:val="0"/>
            <w:vAlign w:val="top"/>
          </w:tcPr>
          <w:p w14:paraId="3D0A7D4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90" w:type="dxa"/>
            <w:noWrap w:val="0"/>
            <w:vAlign w:val="top"/>
          </w:tcPr>
          <w:p w14:paraId="29A5B02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8" w:type="dxa"/>
            <w:noWrap w:val="0"/>
            <w:vAlign w:val="top"/>
          </w:tcPr>
          <w:p w14:paraId="344FCD6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4ED2AE4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2C22A857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DF20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20" w:type="dxa"/>
            <w:vMerge w:val="continue"/>
            <w:noWrap w:val="0"/>
            <w:vAlign w:val="top"/>
          </w:tcPr>
          <w:p w14:paraId="0A4036B1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83495C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 w14:paraId="78C80C74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时效</w:t>
            </w:r>
          </w:p>
          <w:p w14:paraId="41B33513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353" w:type="dxa"/>
            <w:noWrap w:val="0"/>
            <w:vAlign w:val="top"/>
          </w:tcPr>
          <w:p w14:paraId="5581B80D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国有资产处置时效</w:t>
            </w:r>
          </w:p>
        </w:tc>
        <w:tc>
          <w:tcPr>
            <w:tcW w:w="1127" w:type="dxa"/>
            <w:noWrap w:val="0"/>
            <w:vAlign w:val="top"/>
          </w:tcPr>
          <w:p w14:paraId="21B9FE06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190" w:type="dxa"/>
            <w:noWrap w:val="0"/>
            <w:vAlign w:val="top"/>
          </w:tcPr>
          <w:p w14:paraId="3C88FC0D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88" w:type="dxa"/>
            <w:noWrap w:val="0"/>
            <w:vAlign w:val="top"/>
          </w:tcPr>
          <w:p w14:paraId="56839FE8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6850D2B9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726E7E4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D52A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1020" w:type="dxa"/>
            <w:vMerge w:val="continue"/>
            <w:noWrap w:val="0"/>
            <w:vAlign w:val="top"/>
          </w:tcPr>
          <w:p w14:paraId="657420E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296448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 w14:paraId="50569C6A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top"/>
          </w:tcPr>
          <w:p w14:paraId="31992D1E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公共租赁住房租金时效</w:t>
            </w:r>
          </w:p>
        </w:tc>
        <w:tc>
          <w:tcPr>
            <w:tcW w:w="1127" w:type="dxa"/>
            <w:noWrap w:val="0"/>
            <w:vAlign w:val="top"/>
          </w:tcPr>
          <w:p w14:paraId="5FAF4F5D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190" w:type="dxa"/>
            <w:noWrap w:val="0"/>
            <w:vAlign w:val="top"/>
          </w:tcPr>
          <w:p w14:paraId="7C3B7769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88" w:type="dxa"/>
            <w:noWrap w:val="0"/>
            <w:vAlign w:val="top"/>
          </w:tcPr>
          <w:p w14:paraId="3191B93F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5F5E14B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4BE74448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CE37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exact"/>
        </w:trPr>
        <w:tc>
          <w:tcPr>
            <w:tcW w:w="1020" w:type="dxa"/>
            <w:vMerge w:val="continue"/>
            <w:noWrap w:val="0"/>
            <w:vAlign w:val="top"/>
          </w:tcPr>
          <w:p w14:paraId="2A3CD1A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noWrap w:val="0"/>
            <w:vAlign w:val="top"/>
          </w:tcPr>
          <w:p w14:paraId="67E239BA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1C9923F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6E1BD50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效益指标</w:t>
            </w:r>
          </w:p>
          <w:p w14:paraId="65F4D14B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30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 w14:paraId="511D17D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经济效</w:t>
            </w:r>
          </w:p>
          <w:p w14:paraId="7954BA88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3" w:type="dxa"/>
            <w:noWrap w:val="0"/>
            <w:vAlign w:val="top"/>
          </w:tcPr>
          <w:p w14:paraId="174143C9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资源利用率</w:t>
            </w:r>
          </w:p>
        </w:tc>
        <w:tc>
          <w:tcPr>
            <w:tcW w:w="1127" w:type="dxa"/>
            <w:noWrap w:val="0"/>
            <w:vAlign w:val="top"/>
          </w:tcPr>
          <w:p w14:paraId="2DC5838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90" w:type="dxa"/>
            <w:noWrap w:val="0"/>
            <w:vAlign w:val="top"/>
          </w:tcPr>
          <w:p w14:paraId="2EA0A20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8" w:type="dxa"/>
            <w:noWrap w:val="0"/>
            <w:vAlign w:val="top"/>
          </w:tcPr>
          <w:p w14:paraId="1A2C8DCB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500C34D9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0B1EFBEF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10E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1020" w:type="dxa"/>
            <w:vMerge w:val="continue"/>
            <w:noWrap w:val="0"/>
            <w:vAlign w:val="top"/>
          </w:tcPr>
          <w:p w14:paraId="03EE4BB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18B975E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 w14:paraId="4764345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社会效</w:t>
            </w:r>
          </w:p>
          <w:p w14:paraId="1D56F25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3" w:type="dxa"/>
            <w:noWrap w:val="0"/>
            <w:vAlign w:val="top"/>
          </w:tcPr>
          <w:p w14:paraId="678DE0C6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居民居住环境改善率</w:t>
            </w:r>
          </w:p>
        </w:tc>
        <w:tc>
          <w:tcPr>
            <w:tcW w:w="1127" w:type="dxa"/>
            <w:noWrap w:val="0"/>
            <w:vAlign w:val="top"/>
          </w:tcPr>
          <w:p w14:paraId="458FCEB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190" w:type="dxa"/>
            <w:noWrap w:val="0"/>
            <w:vAlign w:val="top"/>
          </w:tcPr>
          <w:p w14:paraId="5C8E6BD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788" w:type="dxa"/>
            <w:noWrap w:val="0"/>
            <w:vAlign w:val="top"/>
          </w:tcPr>
          <w:p w14:paraId="592E36EA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5F6608B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06E2D24D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23CB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1020" w:type="dxa"/>
            <w:vMerge w:val="continue"/>
            <w:noWrap w:val="0"/>
            <w:vAlign w:val="top"/>
          </w:tcPr>
          <w:p w14:paraId="69F0D115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60A6CEC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 w14:paraId="0850593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生态效</w:t>
            </w:r>
          </w:p>
          <w:p w14:paraId="32B63CE9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53" w:type="dxa"/>
            <w:noWrap w:val="0"/>
            <w:vAlign w:val="top"/>
          </w:tcPr>
          <w:p w14:paraId="291E17BB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绿色采购率</w:t>
            </w:r>
          </w:p>
        </w:tc>
        <w:tc>
          <w:tcPr>
            <w:tcW w:w="1127" w:type="dxa"/>
            <w:noWrap w:val="0"/>
            <w:vAlign w:val="top"/>
          </w:tcPr>
          <w:p w14:paraId="20DE0F1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90" w:type="dxa"/>
            <w:noWrap w:val="0"/>
            <w:vAlign w:val="top"/>
          </w:tcPr>
          <w:p w14:paraId="2C5F228F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88" w:type="dxa"/>
            <w:noWrap w:val="0"/>
            <w:vAlign w:val="top"/>
          </w:tcPr>
          <w:p w14:paraId="3D023B6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35D9010D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7" w:type="dxa"/>
            <w:noWrap w:val="0"/>
            <w:vAlign w:val="top"/>
          </w:tcPr>
          <w:p w14:paraId="13272946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185D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1020" w:type="dxa"/>
            <w:vMerge w:val="continue"/>
            <w:noWrap w:val="0"/>
            <w:vAlign w:val="top"/>
          </w:tcPr>
          <w:p w14:paraId="1B6944D4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top"/>
          </w:tcPr>
          <w:p w14:paraId="208AEFED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满意度</w:t>
            </w:r>
          </w:p>
          <w:p w14:paraId="04465065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指标</w:t>
            </w:r>
          </w:p>
          <w:p w14:paraId="542E5D8C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Ansi="宋体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940" w:type="dxa"/>
            <w:noWrap w:val="0"/>
            <w:vAlign w:val="center"/>
          </w:tcPr>
          <w:p w14:paraId="2AFFDEF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服务对</w:t>
            </w:r>
          </w:p>
          <w:p w14:paraId="2DDE5A50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象满意</w:t>
            </w:r>
          </w:p>
          <w:p w14:paraId="7B8BE952">
            <w:pPr>
              <w:autoSpaceDE w:val="0"/>
              <w:autoSpaceDN w:val="0"/>
              <w:spacing w:before="20" w:line="2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度指标</w:t>
            </w:r>
          </w:p>
        </w:tc>
        <w:tc>
          <w:tcPr>
            <w:tcW w:w="1353" w:type="dxa"/>
            <w:noWrap w:val="0"/>
            <w:vAlign w:val="top"/>
          </w:tcPr>
          <w:p w14:paraId="5011556A">
            <w:pPr>
              <w:autoSpaceDE w:val="0"/>
              <w:autoSpaceDN w:val="0"/>
              <w:spacing w:before="20" w:line="340" w:lineRule="atLeast"/>
              <w:jc w:val="both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服务对象满意率</w:t>
            </w:r>
          </w:p>
        </w:tc>
        <w:tc>
          <w:tcPr>
            <w:tcW w:w="1127" w:type="dxa"/>
            <w:noWrap w:val="0"/>
            <w:vAlign w:val="top"/>
          </w:tcPr>
          <w:p w14:paraId="72B54EF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90" w:type="dxa"/>
            <w:noWrap w:val="0"/>
            <w:vAlign w:val="top"/>
          </w:tcPr>
          <w:p w14:paraId="1E255B2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788" w:type="dxa"/>
            <w:noWrap w:val="0"/>
            <w:vAlign w:val="top"/>
          </w:tcPr>
          <w:p w14:paraId="4A0BCA0C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5" w:type="dxa"/>
            <w:noWrap w:val="0"/>
            <w:vAlign w:val="top"/>
          </w:tcPr>
          <w:p w14:paraId="5080D498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7" w:type="dxa"/>
            <w:noWrap w:val="0"/>
            <w:vAlign w:val="top"/>
          </w:tcPr>
          <w:p w14:paraId="1B2D1102">
            <w:pPr>
              <w:autoSpaceDE w:val="0"/>
              <w:autoSpaceDN w:val="0"/>
              <w:spacing w:before="20" w:line="3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EFD7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730" w:type="dxa"/>
            <w:gridSpan w:val="6"/>
            <w:noWrap w:val="0"/>
            <w:vAlign w:val="top"/>
          </w:tcPr>
          <w:p w14:paraId="326A100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88" w:type="dxa"/>
            <w:noWrap w:val="0"/>
            <w:vAlign w:val="top"/>
          </w:tcPr>
          <w:p w14:paraId="155556BD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75" w:type="dxa"/>
            <w:noWrap w:val="0"/>
            <w:vAlign w:val="top"/>
          </w:tcPr>
          <w:p w14:paraId="0B864EA1">
            <w:pPr>
              <w:autoSpaceDE w:val="0"/>
              <w:autoSpaceDN w:val="0"/>
              <w:spacing w:line="32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327" w:type="dxa"/>
            <w:noWrap w:val="0"/>
            <w:vAlign w:val="top"/>
          </w:tcPr>
          <w:p w14:paraId="2FDBDC8F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68D49FD2">
      <w:pPr>
        <w:autoSpaceDE w:val="0"/>
        <w:autoSpaceDN w:val="0"/>
        <w:spacing w:line="320" w:lineRule="exac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备注：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Ansi="宋体" w:eastAsia="宋体"/>
          <w:kern w:val="0"/>
          <w:sz w:val="21"/>
          <w:szCs w:val="21"/>
        </w:rPr>
        <w:t>每个项目支出一张表。</w:t>
      </w:r>
    </w:p>
    <w:p w14:paraId="7221B8EE">
      <w:pPr>
        <w:autoSpaceDE w:val="0"/>
        <w:autoSpaceDN w:val="0"/>
        <w:spacing w:line="320" w:lineRule="exac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吴斌</w:t>
      </w:r>
      <w:r>
        <w:rPr>
          <w:rFonts w:eastAsia="宋体"/>
          <w:kern w:val="0"/>
          <w:sz w:val="21"/>
          <w:szCs w:val="21"/>
        </w:rPr>
        <w:t xml:space="preserve">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      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2025年4月23</w:t>
      </w:r>
      <w:bookmarkStart w:id="0" w:name="_GoBack"/>
      <w:bookmarkEnd w:id="0"/>
      <w:r>
        <w:rPr>
          <w:rFonts w:hint="eastAsia" w:hAnsi="宋体" w:eastAsia="宋体"/>
          <w:kern w:val="0"/>
          <w:sz w:val="21"/>
          <w:szCs w:val="21"/>
          <w:lang w:val="en-US" w:eastAsia="zh-CN"/>
        </w:rPr>
        <w:t>日</w:t>
      </w:r>
      <w:r>
        <w:rPr>
          <w:rFonts w:eastAsia="宋体"/>
          <w:kern w:val="0"/>
          <w:sz w:val="21"/>
          <w:szCs w:val="21"/>
        </w:rPr>
        <w:t xml:space="preserve">     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hAnsi="宋体" w:eastAsia="宋体"/>
          <w:kern w:val="0"/>
          <w:sz w:val="21"/>
          <w:szCs w:val="21"/>
        </w:rPr>
        <w:t>单位负责人签字：</w:t>
      </w:r>
      <w:r>
        <w:rPr>
          <w:rFonts w:hint="eastAsia" w:hAnsi="宋体" w:eastAsia="宋体"/>
          <w:kern w:val="0"/>
          <w:sz w:val="21"/>
          <w:szCs w:val="21"/>
          <w:lang w:eastAsia="zh-CN"/>
        </w:rPr>
        <w:t>刘学文</w:t>
      </w:r>
    </w:p>
    <w:p w14:paraId="1CB75BC9"/>
    <w:sectPr>
      <w:footerReference r:id="rId3" w:type="default"/>
      <w:footerReference r:id="rId4" w:type="even"/>
      <w:pgSz w:w="11907" w:h="16840"/>
      <w:pgMar w:top="1814" w:right="1361" w:bottom="1644" w:left="1588" w:header="851" w:footer="1304" w:gutter="0"/>
      <w:cols w:space="720" w:num="1"/>
      <w:docGrid w:type="linesAndChars" w:linePitch="534" w:charSpace="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AAA78">
    <w:pPr>
      <w:pStyle w:val="2"/>
      <w:framePr w:w="1701" w:wrap="around" w:vAnchor="text" w:hAnchor="margin" w:xAlign="outside" w:y="1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  <w:p w14:paraId="72FEDA16"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4A590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4DE990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07B58"/>
    <w:rsid w:val="47B92F15"/>
    <w:rsid w:val="6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270</Characters>
  <Lines>0</Lines>
  <Paragraphs>0</Paragraphs>
  <TotalTime>0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2025-04-22T07:10:00Z</dcterms:created>
  <dc:creator>Administrator</dc:creator>
  <cp:lastModifiedBy>斌</cp:lastModifiedBy>
  <dcterms:modified xsi:type="dcterms:W3CDTF">2025-04-23T01:00:27Z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eyJoZGlkIjoiZmE5ZjkwYWU4YzA3NWNiY2FkZGUxMzQzMGI4ZjAyMTkiLCJ1c2VySWQiOiIxMDMwMjg2NzQ3In0=</vt:lpwstr>
  </property>
  <property fmtid="{D5CDD505-2E9C-101B-9397-08002B2CF9AE}" pid="4" name="ICV">
    <vt:lpwstr>7F06374B5533444D86DFB00090A1429F_12</vt:lpwstr>
  </property>
</Properties>
</file>