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6F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bookmarkStart w:id="0" w:name="_GoBack"/>
      <w:bookmarkEnd w:id="0"/>
    </w:p>
    <w:p w14:paraId="06BD8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14:paraId="068066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14:paraId="75649F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桃江县</w:t>
      </w:r>
      <w:r>
        <w:rPr>
          <w:rFonts w:hint="default" w:ascii="Times New Roman" w:hAnsi="Times New Roman" w:eastAsia="方正小标宋简体" w:cs="Times New Roman"/>
          <w:sz w:val="44"/>
          <w:szCs w:val="44"/>
        </w:rPr>
        <w:t>市场监督管理局</w:t>
      </w:r>
    </w:p>
    <w:p w14:paraId="2CE204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桃江县</w:t>
      </w:r>
      <w:r>
        <w:rPr>
          <w:rFonts w:hint="default" w:ascii="Times New Roman" w:hAnsi="Times New Roman" w:eastAsia="方正小标宋简体" w:cs="Times New Roman"/>
          <w:sz w:val="44"/>
          <w:szCs w:val="44"/>
        </w:rPr>
        <w:t>市场监督管理</w:t>
      </w:r>
      <w:r>
        <w:rPr>
          <w:rFonts w:hint="eastAsia" w:ascii="Times New Roman" w:hAnsi="Times New Roman" w:eastAsia="方正小标宋简体" w:cs="Times New Roman"/>
          <w:sz w:val="44"/>
          <w:szCs w:val="44"/>
          <w:lang w:val="en-US" w:eastAsia="zh-CN"/>
        </w:rPr>
        <w:t>局</w:t>
      </w:r>
      <w:r>
        <w:rPr>
          <w:rFonts w:hint="default" w:ascii="Times New Roman" w:hAnsi="Times New Roman" w:eastAsia="方正小标宋简体" w:cs="Times New Roman"/>
          <w:sz w:val="44"/>
          <w:szCs w:val="44"/>
          <w:lang w:eastAsia="zh-CN"/>
        </w:rPr>
        <w:t>系统</w:t>
      </w:r>
    </w:p>
    <w:p w14:paraId="4952CA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行政检查事项清单》的通知</w:t>
      </w:r>
    </w:p>
    <w:p w14:paraId="74260DA3">
      <w:pPr>
        <w:rPr>
          <w:rFonts w:hint="eastAsia"/>
        </w:rPr>
      </w:pPr>
    </w:p>
    <w:p w14:paraId="5ACBB2F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属各单位:</w:t>
      </w:r>
    </w:p>
    <w:p w14:paraId="7BEB6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桃江县</w:t>
      </w:r>
      <w:r>
        <w:rPr>
          <w:rFonts w:hint="default" w:ascii="Times New Roman" w:hAnsi="Times New Roman" w:eastAsia="仿宋_GB2312" w:cs="Times New Roman"/>
          <w:sz w:val="32"/>
          <w:szCs w:val="32"/>
        </w:rPr>
        <w:t>市场监督管理</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行政检查事项清单》已经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领导班子</w:t>
      </w:r>
      <w:r>
        <w:rPr>
          <w:rFonts w:hint="default"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lang w:eastAsia="zh-CN"/>
        </w:rPr>
        <w:t>集体讨论</w:t>
      </w:r>
      <w:r>
        <w:rPr>
          <w:rFonts w:hint="default" w:ascii="Times New Roman" w:hAnsi="Times New Roman" w:eastAsia="仿宋_GB2312" w:cs="Times New Roman"/>
          <w:sz w:val="32"/>
          <w:szCs w:val="32"/>
        </w:rPr>
        <w:t>审议通过，</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印发给你们，请认真遵照执行。</w:t>
      </w:r>
    </w:p>
    <w:p w14:paraId="075BB82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E2455BF">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lang w:eastAsia="zh-CN"/>
        </w:rPr>
      </w:pPr>
    </w:p>
    <w:p w14:paraId="104688CE">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桃江县市场监督管理局</w:t>
      </w:r>
    </w:p>
    <w:p w14:paraId="52B89A5C">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日</w:t>
      </w:r>
    </w:p>
    <w:p w14:paraId="3D8B80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sectPr>
          <w:footerReference r:id="rId3" w:type="default"/>
          <w:pgSz w:w="11906" w:h="16838"/>
          <w:pgMar w:top="1814" w:right="1417" w:bottom="164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13AED5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桃江县市场监督管理局</w:t>
      </w:r>
      <w:r>
        <w:rPr>
          <w:rFonts w:hint="eastAsia" w:ascii="方正小标宋简体" w:hAnsi="方正小标宋简体" w:eastAsia="方正小标宋简体" w:cs="方正小标宋简体"/>
          <w:sz w:val="44"/>
          <w:szCs w:val="44"/>
          <w:lang w:val="en-US" w:eastAsia="zh-CN"/>
        </w:rPr>
        <w:t>系统行政检查事项清单</w:t>
      </w:r>
    </w:p>
    <w:tbl>
      <w:tblPr>
        <w:tblStyle w:val="7"/>
        <w:tblW w:w="158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46"/>
        <w:gridCol w:w="938"/>
        <w:gridCol w:w="1200"/>
        <w:gridCol w:w="3537"/>
        <w:gridCol w:w="938"/>
        <w:gridCol w:w="825"/>
        <w:gridCol w:w="3737"/>
        <w:gridCol w:w="963"/>
        <w:gridCol w:w="1175"/>
        <w:gridCol w:w="1994"/>
      </w:tblGrid>
      <w:tr w14:paraId="1F306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46" w:type="dxa"/>
            <w:tcBorders>
              <w:tl2br w:val="nil"/>
              <w:tr2bl w:val="nil"/>
            </w:tcBorders>
            <w:noWrap w:val="0"/>
            <w:vAlign w:val="center"/>
          </w:tcPr>
          <w:p w14:paraId="66B12030">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序号</w:t>
            </w:r>
          </w:p>
        </w:tc>
        <w:tc>
          <w:tcPr>
            <w:tcW w:w="938" w:type="dxa"/>
            <w:tcBorders>
              <w:tl2br w:val="nil"/>
              <w:tr2bl w:val="nil"/>
            </w:tcBorders>
            <w:noWrap w:val="0"/>
            <w:vAlign w:val="center"/>
          </w:tcPr>
          <w:p w14:paraId="04518642">
            <w:pPr>
              <w:pStyle w:val="11"/>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sz w:val="21"/>
                <w:szCs w:val="21"/>
                <w:lang w:eastAsia="zh-CN"/>
              </w:rPr>
            </w:pPr>
            <w:r>
              <w:rPr>
                <w:rFonts w:hint="eastAsia" w:asciiTheme="minorEastAsia" w:hAnsiTheme="minorEastAsia" w:eastAsiaTheme="minorEastAsia" w:cstheme="minorEastAsia"/>
                <w:b/>
                <w:bCs/>
                <w:color w:val="auto"/>
                <w:spacing w:val="0"/>
                <w:sz w:val="21"/>
                <w:szCs w:val="21"/>
                <w:lang w:eastAsia="zh-CN"/>
              </w:rPr>
              <w:t>检查</w:t>
            </w:r>
          </w:p>
          <w:p w14:paraId="55E4C062">
            <w:pPr>
              <w:pStyle w:val="11"/>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sz w:val="21"/>
                <w:szCs w:val="21"/>
              </w:rPr>
            </w:pPr>
            <w:r>
              <w:rPr>
                <w:rFonts w:hint="eastAsia" w:asciiTheme="minorEastAsia" w:hAnsiTheme="minorEastAsia" w:eastAsiaTheme="minorEastAsia" w:cstheme="minorEastAsia"/>
                <w:b/>
                <w:bCs/>
                <w:color w:val="auto"/>
                <w:spacing w:val="0"/>
                <w:sz w:val="21"/>
                <w:szCs w:val="21"/>
              </w:rPr>
              <w:t>事项</w:t>
            </w:r>
          </w:p>
        </w:tc>
        <w:tc>
          <w:tcPr>
            <w:tcW w:w="1200" w:type="dxa"/>
            <w:tcBorders>
              <w:tl2br w:val="nil"/>
              <w:tr2bl w:val="nil"/>
            </w:tcBorders>
            <w:noWrap w:val="0"/>
            <w:vAlign w:val="center"/>
          </w:tcPr>
          <w:p w14:paraId="7145AC02">
            <w:pPr>
              <w:pStyle w:val="11"/>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sz w:val="21"/>
                <w:szCs w:val="21"/>
                <w:lang w:eastAsia="zh-CN"/>
              </w:rPr>
            </w:pPr>
            <w:r>
              <w:rPr>
                <w:rFonts w:hint="eastAsia" w:asciiTheme="minorEastAsia" w:hAnsiTheme="minorEastAsia" w:eastAsiaTheme="minorEastAsia" w:cstheme="minorEastAsia"/>
                <w:b/>
                <w:bCs/>
                <w:color w:val="auto"/>
                <w:spacing w:val="0"/>
                <w:sz w:val="21"/>
                <w:szCs w:val="21"/>
                <w:lang w:eastAsia="zh-CN"/>
              </w:rPr>
              <w:t>检查主体</w:t>
            </w:r>
          </w:p>
          <w:p w14:paraId="387FCB77">
            <w:pPr>
              <w:pStyle w:val="11"/>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sz w:val="21"/>
                <w:szCs w:val="21"/>
                <w:lang w:eastAsia="zh-CN"/>
              </w:rPr>
            </w:pPr>
            <w:r>
              <w:rPr>
                <w:rFonts w:hint="eastAsia" w:asciiTheme="minorEastAsia" w:hAnsiTheme="minorEastAsia" w:eastAsiaTheme="minorEastAsia" w:cstheme="minorEastAsia"/>
                <w:b/>
                <w:bCs/>
                <w:color w:val="auto"/>
                <w:spacing w:val="0"/>
                <w:sz w:val="21"/>
                <w:szCs w:val="21"/>
                <w:lang w:eastAsia="zh-CN"/>
              </w:rPr>
              <w:t>（实施层级）</w:t>
            </w:r>
          </w:p>
        </w:tc>
        <w:tc>
          <w:tcPr>
            <w:tcW w:w="3537" w:type="dxa"/>
            <w:tcBorders>
              <w:tl2br w:val="nil"/>
              <w:tr2bl w:val="nil"/>
            </w:tcBorders>
            <w:noWrap w:val="0"/>
            <w:vAlign w:val="center"/>
          </w:tcPr>
          <w:p w14:paraId="492257D7">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实施依据</w:t>
            </w:r>
          </w:p>
        </w:tc>
        <w:tc>
          <w:tcPr>
            <w:tcW w:w="938" w:type="dxa"/>
            <w:tcBorders>
              <w:tl2br w:val="nil"/>
              <w:tr2bl w:val="nil"/>
            </w:tcBorders>
            <w:noWrap w:val="0"/>
            <w:vAlign w:val="center"/>
          </w:tcPr>
          <w:p w14:paraId="7DEA31B6">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承办机构</w:t>
            </w:r>
          </w:p>
        </w:tc>
        <w:tc>
          <w:tcPr>
            <w:tcW w:w="825" w:type="dxa"/>
            <w:tcBorders>
              <w:tl2br w:val="nil"/>
              <w:tr2bl w:val="nil"/>
            </w:tcBorders>
            <w:noWrap w:val="0"/>
            <w:vAlign w:val="center"/>
          </w:tcPr>
          <w:p w14:paraId="28BBEAC2">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检查</w:t>
            </w:r>
          </w:p>
          <w:p w14:paraId="1A653213">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对象</w:t>
            </w:r>
          </w:p>
        </w:tc>
        <w:tc>
          <w:tcPr>
            <w:tcW w:w="3737" w:type="dxa"/>
            <w:tcBorders>
              <w:tl2br w:val="nil"/>
              <w:tr2bl w:val="nil"/>
            </w:tcBorders>
            <w:noWrap w:val="0"/>
            <w:vAlign w:val="center"/>
          </w:tcPr>
          <w:p w14:paraId="56DCF0F2">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检查内容</w:t>
            </w:r>
          </w:p>
        </w:tc>
        <w:tc>
          <w:tcPr>
            <w:tcW w:w="963" w:type="dxa"/>
            <w:tcBorders>
              <w:tl2br w:val="nil"/>
              <w:tr2bl w:val="nil"/>
            </w:tcBorders>
            <w:noWrap w:val="0"/>
            <w:vAlign w:val="center"/>
          </w:tcPr>
          <w:p w14:paraId="759E292D">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检查</w:t>
            </w:r>
          </w:p>
          <w:p w14:paraId="668F6CD5">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方式</w:t>
            </w:r>
          </w:p>
        </w:tc>
        <w:tc>
          <w:tcPr>
            <w:tcW w:w="1175" w:type="dxa"/>
            <w:tcBorders>
              <w:tl2br w:val="nil"/>
              <w:tr2bl w:val="nil"/>
            </w:tcBorders>
            <w:noWrap w:val="0"/>
            <w:vAlign w:val="center"/>
          </w:tcPr>
          <w:p w14:paraId="32839BCB">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检查频次</w:t>
            </w:r>
          </w:p>
        </w:tc>
        <w:tc>
          <w:tcPr>
            <w:tcW w:w="1994" w:type="dxa"/>
            <w:tcBorders>
              <w:tl2br w:val="nil"/>
              <w:tr2bl w:val="nil"/>
            </w:tcBorders>
            <w:noWrap w:val="0"/>
            <w:vAlign w:val="center"/>
          </w:tcPr>
          <w:p w14:paraId="73742794">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b/>
                <w:bCs/>
                <w:color w:val="auto"/>
                <w:spacing w:val="0"/>
                <w:kern w:val="0"/>
                <w:sz w:val="21"/>
                <w:szCs w:val="21"/>
              </w:rPr>
            </w:pPr>
            <w:r>
              <w:rPr>
                <w:rFonts w:hint="eastAsia" w:asciiTheme="minorEastAsia" w:hAnsiTheme="minorEastAsia" w:eastAsiaTheme="minorEastAsia" w:cstheme="minorEastAsia"/>
                <w:b/>
                <w:bCs/>
                <w:color w:val="auto"/>
                <w:spacing w:val="0"/>
                <w:kern w:val="0"/>
                <w:sz w:val="21"/>
                <w:szCs w:val="21"/>
              </w:rPr>
              <w:t>备注</w:t>
            </w:r>
          </w:p>
        </w:tc>
      </w:tr>
      <w:tr w14:paraId="12D7D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30" w:hRule="atLeast"/>
          <w:jc w:val="center"/>
        </w:trPr>
        <w:tc>
          <w:tcPr>
            <w:tcW w:w="546" w:type="dxa"/>
            <w:tcBorders>
              <w:tl2br w:val="nil"/>
              <w:tr2bl w:val="nil"/>
            </w:tcBorders>
            <w:noWrap w:val="0"/>
            <w:vAlign w:val="center"/>
          </w:tcPr>
          <w:p w14:paraId="0979BCC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1</w:t>
            </w:r>
          </w:p>
        </w:tc>
        <w:tc>
          <w:tcPr>
            <w:tcW w:w="938" w:type="dxa"/>
            <w:tcBorders>
              <w:tl2br w:val="nil"/>
              <w:tr2bl w:val="nil"/>
            </w:tcBorders>
            <w:noWrap w:val="0"/>
            <w:vAlign w:val="center"/>
          </w:tcPr>
          <w:p w14:paraId="08E73EB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登记事项检查</w:t>
            </w:r>
          </w:p>
        </w:tc>
        <w:tc>
          <w:tcPr>
            <w:tcW w:w="1200" w:type="dxa"/>
            <w:tcBorders>
              <w:tl2br w:val="nil"/>
              <w:tr2bl w:val="nil"/>
            </w:tcBorders>
            <w:noWrap w:val="0"/>
            <w:vAlign w:val="center"/>
          </w:tcPr>
          <w:p w14:paraId="7B37DEE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县级以上市场监管部门</w:t>
            </w:r>
          </w:p>
        </w:tc>
        <w:tc>
          <w:tcPr>
            <w:tcW w:w="3537" w:type="dxa"/>
            <w:tcBorders>
              <w:tl2br w:val="nil"/>
              <w:tr2bl w:val="nil"/>
            </w:tcBorders>
            <w:noWrap w:val="0"/>
            <w:vAlign w:val="center"/>
          </w:tcPr>
          <w:p w14:paraId="26B16CD9">
            <w:pPr>
              <w:keepNext w:val="0"/>
              <w:keepLines w:val="0"/>
              <w:pageBreakBefore w:val="0"/>
              <w:widowControl w:val="0"/>
              <w:suppressLineNumbers w:val="0"/>
              <w:kinsoku/>
              <w:wordWrap/>
              <w:overflowPunct/>
              <w:topLinePunct w:val="0"/>
              <w:bidi w:val="0"/>
              <w:spacing w:afterAutospacing="0" w:line="300" w:lineRule="exact"/>
              <w:ind w:left="0" w:leftChars="0" w:firstLine="0" w:firstLineChars="0"/>
              <w:jc w:val="both"/>
              <w:textAlignment w:val="center"/>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《中华人民共和国公司法》第三十二条、第三十四条、第二百六十条第二款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《中华人民共和国合伙企业法》第十三条、第九十四条、第九十五条第二款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《企业名称登记管理规定》第十一条、第二十三条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《优化营商环境条例》第五十四条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《中华人民共和国市场主体登记管理条例》第八条、第二十四条、第二十六条、第三十一条、第三十八条、第四十六条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《公司登记管理实施办法》第四条、第十二条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《中华人民共和国市场主体登记管理条例实施细则》第六条、第三十六条、第四十四条、第六十六条、第七十二条</w:t>
            </w:r>
          </w:p>
        </w:tc>
        <w:tc>
          <w:tcPr>
            <w:tcW w:w="938" w:type="dxa"/>
            <w:tcBorders>
              <w:tl2br w:val="nil"/>
              <w:tr2bl w:val="nil"/>
            </w:tcBorders>
            <w:noWrap w:val="0"/>
            <w:vAlign w:val="center"/>
          </w:tcPr>
          <w:p w14:paraId="7369B8A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t>信用监管股、执法大队、市场监督管理所</w:t>
            </w:r>
          </w:p>
        </w:tc>
        <w:tc>
          <w:tcPr>
            <w:tcW w:w="825" w:type="dxa"/>
            <w:tcBorders>
              <w:tl2br w:val="nil"/>
              <w:tr2bl w:val="nil"/>
            </w:tcBorders>
            <w:noWrap w:val="0"/>
            <w:vAlign w:val="center"/>
          </w:tcPr>
          <w:p w14:paraId="68525E5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企业、个体工商户、农民专业合作社</w:t>
            </w:r>
          </w:p>
        </w:tc>
        <w:tc>
          <w:tcPr>
            <w:tcW w:w="3737" w:type="dxa"/>
            <w:tcBorders>
              <w:tl2br w:val="nil"/>
              <w:tr2bl w:val="nil"/>
            </w:tcBorders>
            <w:noWrap w:val="0"/>
            <w:vAlign w:val="center"/>
          </w:tcPr>
          <w:p w14:paraId="03783D1B">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（一）名称；</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（二）主体类型；</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（三）经营范围；</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（四）住所或者主要经营场所；</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（五）注册资本或者出资额；</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（六）法定代表人、执行事务合伙人或者负责人姓名。</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除前款规定外，还应当根据市场主体类型登记下列事项：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（一）有限责任公司股东、股份有限公司发起人、非公司企业法人出资人的姓名或者名称；</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（二）个人独资企业的投资人姓名及居所；</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（三）合伙企业的合伙人名称或者姓名、住所、承担责任方式；</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（四）个体工商户的经营者姓名、住所、经营场所；</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（五）法律、行政法规规定的其他事项</w:t>
            </w:r>
          </w:p>
        </w:tc>
        <w:tc>
          <w:tcPr>
            <w:tcW w:w="963" w:type="dxa"/>
            <w:tcBorders>
              <w:tl2br w:val="nil"/>
              <w:tr2bl w:val="nil"/>
            </w:tcBorders>
            <w:noWrap w:val="0"/>
            <w:vAlign w:val="center"/>
          </w:tcPr>
          <w:p w14:paraId="08F124C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6B09E4F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420A45D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1427E53B">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56AC6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35" w:hRule="atLeast"/>
          <w:jc w:val="center"/>
        </w:trPr>
        <w:tc>
          <w:tcPr>
            <w:tcW w:w="546" w:type="dxa"/>
            <w:tcBorders>
              <w:tl2br w:val="nil"/>
              <w:tr2bl w:val="nil"/>
            </w:tcBorders>
            <w:noWrap w:val="0"/>
            <w:vAlign w:val="center"/>
          </w:tcPr>
          <w:p w14:paraId="1F0C0C6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2</w:t>
            </w:r>
          </w:p>
        </w:tc>
        <w:tc>
          <w:tcPr>
            <w:tcW w:w="938" w:type="dxa"/>
            <w:tcBorders>
              <w:tl2br w:val="nil"/>
              <w:tr2bl w:val="nil"/>
            </w:tcBorders>
            <w:noWrap w:val="0"/>
            <w:vAlign w:val="center"/>
          </w:tcPr>
          <w:p w14:paraId="61BFDEE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备案事项检查</w:t>
            </w:r>
          </w:p>
        </w:tc>
        <w:tc>
          <w:tcPr>
            <w:tcW w:w="1200" w:type="dxa"/>
            <w:tcBorders>
              <w:tl2br w:val="nil"/>
              <w:tr2bl w:val="nil"/>
            </w:tcBorders>
            <w:noWrap w:val="0"/>
            <w:vAlign w:val="center"/>
          </w:tcPr>
          <w:p w14:paraId="4B28712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县级以上市场监管部门</w:t>
            </w:r>
          </w:p>
        </w:tc>
        <w:tc>
          <w:tcPr>
            <w:tcW w:w="3537" w:type="dxa"/>
            <w:tcBorders>
              <w:tl2br w:val="nil"/>
              <w:tr2bl w:val="nil"/>
            </w:tcBorders>
            <w:noWrap w:val="0"/>
            <w:vAlign w:val="center"/>
          </w:tcPr>
          <w:p w14:paraId="5CC9C8B8">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《中华人民共和国市场主体登记管理条例》第九条、第二十九条、第三十条、第四十七条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《公司登记管理实施办法》第五条、第六条、第七条、第八条、第九条、第十一条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《中华人民共和国市场主体登记管理条例实施细则》第七条、第三十九条、第四十一条、第四十二条、第四十三条、第六十六条、第七十三条、第七十四条</w:t>
            </w:r>
          </w:p>
        </w:tc>
        <w:tc>
          <w:tcPr>
            <w:tcW w:w="938" w:type="dxa"/>
            <w:tcBorders>
              <w:tl2br w:val="nil"/>
              <w:tr2bl w:val="nil"/>
            </w:tcBorders>
            <w:noWrap w:val="0"/>
            <w:vAlign w:val="center"/>
          </w:tcPr>
          <w:p w14:paraId="00672229">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pPr>
            <w: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t>信用监管股、执法大队、市场监督管理所</w:t>
            </w:r>
          </w:p>
        </w:tc>
        <w:tc>
          <w:tcPr>
            <w:tcW w:w="825" w:type="dxa"/>
            <w:tcBorders>
              <w:tl2br w:val="nil"/>
              <w:tr2bl w:val="nil"/>
            </w:tcBorders>
            <w:noWrap w:val="0"/>
            <w:vAlign w:val="center"/>
          </w:tcPr>
          <w:p w14:paraId="480563B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企业、个体工商户、农民专业合作社</w:t>
            </w:r>
          </w:p>
        </w:tc>
        <w:tc>
          <w:tcPr>
            <w:tcW w:w="3737" w:type="dxa"/>
            <w:tcBorders>
              <w:tl2br w:val="nil"/>
              <w:tr2bl w:val="nil"/>
            </w:tcBorders>
            <w:noWrap w:val="0"/>
            <w:vAlign w:val="center"/>
          </w:tcPr>
          <w:p w14:paraId="7B90716E">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（一）章程或者合伙协议；</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（二）经营期限或者合伙期限；</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（三）有限责任公司股东或者股份有限公司发起人认缴的出资数额，合伙企业合伙人认缴或者实际缴付的出资数额、缴付期限和出资方式；</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（四）公司董事、监事、高级管理人员；</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（五）农民专业合作社（联合社）成员；</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（六）参加经营的个体工商户家庭成员姓名；</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（七）市场主体登记联络员、外商投资企业法律文件送达接受人；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（八）公司、合伙企业等市场主体受益所有人相关信息；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（九）法律、行政法规规定的其他事项。</w:t>
            </w:r>
          </w:p>
        </w:tc>
        <w:tc>
          <w:tcPr>
            <w:tcW w:w="963" w:type="dxa"/>
            <w:tcBorders>
              <w:tl2br w:val="nil"/>
              <w:tr2bl w:val="nil"/>
            </w:tcBorders>
            <w:noWrap w:val="0"/>
            <w:vAlign w:val="center"/>
          </w:tcPr>
          <w:p w14:paraId="0656642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7744C3F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0451D21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70E8BB80">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23C30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55" w:hRule="atLeast"/>
          <w:jc w:val="center"/>
        </w:trPr>
        <w:tc>
          <w:tcPr>
            <w:tcW w:w="546" w:type="dxa"/>
            <w:tcBorders>
              <w:tl2br w:val="nil"/>
              <w:tr2bl w:val="nil"/>
            </w:tcBorders>
            <w:noWrap w:val="0"/>
            <w:vAlign w:val="center"/>
          </w:tcPr>
          <w:p w14:paraId="4028AF0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3</w:t>
            </w:r>
          </w:p>
        </w:tc>
        <w:tc>
          <w:tcPr>
            <w:tcW w:w="938" w:type="dxa"/>
            <w:tcBorders>
              <w:tl2br w:val="nil"/>
              <w:tr2bl w:val="nil"/>
            </w:tcBorders>
            <w:noWrap w:val="0"/>
            <w:vAlign w:val="center"/>
          </w:tcPr>
          <w:p w14:paraId="6A49CF2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公示信息检查</w:t>
            </w:r>
          </w:p>
        </w:tc>
        <w:tc>
          <w:tcPr>
            <w:tcW w:w="1200" w:type="dxa"/>
            <w:tcBorders>
              <w:tl2br w:val="nil"/>
              <w:tr2bl w:val="nil"/>
            </w:tcBorders>
            <w:noWrap w:val="0"/>
            <w:vAlign w:val="center"/>
          </w:tcPr>
          <w:p w14:paraId="0A810A9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县级以上市场监管部门</w:t>
            </w:r>
          </w:p>
        </w:tc>
        <w:tc>
          <w:tcPr>
            <w:tcW w:w="3537" w:type="dxa"/>
            <w:tcBorders>
              <w:tl2br w:val="nil"/>
              <w:tr2bl w:val="nil"/>
            </w:tcBorders>
            <w:noWrap w:val="0"/>
            <w:vAlign w:val="center"/>
          </w:tcPr>
          <w:p w14:paraId="59D93311">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《中华人民共和国公司法》第四十条、第二百五十一条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《企业公示信息抽查暂行办法》第十条、第十二条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《企业经营异常名录管理暂行办法》第四条、第六条、第八条、第九条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《个体工商户年度报告暂行办法》第六条、第十一条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《农民专业合作社年度报告公示暂行办法》第五条、第八条、第九条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《企业信息公示暂行条例》第八条、第九条、第十条、第十四条、第十五条、第十八条第一款、第二款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《中华人民共和国市场主体登记管理条例》第三十五条、第三十八条第二款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《中华人民共和国市场主体登记管理条例实施细则》第六十三条、第六十六条、第七十条</w:t>
            </w:r>
          </w:p>
        </w:tc>
        <w:tc>
          <w:tcPr>
            <w:tcW w:w="938" w:type="dxa"/>
            <w:tcBorders>
              <w:tl2br w:val="nil"/>
              <w:tr2bl w:val="nil"/>
            </w:tcBorders>
            <w:noWrap w:val="0"/>
            <w:vAlign w:val="center"/>
          </w:tcPr>
          <w:p w14:paraId="5BF80A3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信用监管股、执法大队、市场监督管理所</w:t>
            </w:r>
          </w:p>
        </w:tc>
        <w:tc>
          <w:tcPr>
            <w:tcW w:w="825" w:type="dxa"/>
            <w:tcBorders>
              <w:tl2br w:val="nil"/>
              <w:tr2bl w:val="nil"/>
            </w:tcBorders>
            <w:noWrap w:val="0"/>
            <w:vAlign w:val="center"/>
          </w:tcPr>
          <w:p w14:paraId="7E114C18">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企业、个体工商户、农民专业合作社</w:t>
            </w:r>
          </w:p>
        </w:tc>
        <w:tc>
          <w:tcPr>
            <w:tcW w:w="3737" w:type="dxa"/>
            <w:tcBorders>
              <w:tl2br w:val="nil"/>
              <w:tr2bl w:val="nil"/>
            </w:tcBorders>
            <w:noWrap w:val="0"/>
            <w:vAlign w:val="center"/>
          </w:tcPr>
          <w:p w14:paraId="78BE63E2">
            <w:pPr>
              <w:keepNext w:val="0"/>
              <w:keepLines w:val="0"/>
              <w:pageBreakBefore w:val="0"/>
              <w:widowControl w:val="0"/>
              <w:suppressLineNumbers w:val="0"/>
              <w:kinsoku/>
              <w:wordWrap/>
              <w:overflowPunct/>
              <w:topLinePunct w:val="0"/>
              <w:autoSpaceDE/>
              <w:autoSpaceDN/>
              <w:bidi w:val="0"/>
              <w:adjustRightInd/>
              <w:snapToGrid/>
              <w:spacing w:line="26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年度报告：</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（一）企业通信地址、邮政编码、联系电话、电子邮箱等信息；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（二）企业开业、歇业、清算等存续状态信息；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（三）企业投资设立企业、购买股权信息；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（四）企业为有限责任公司或者股份有限公司的，其股东或者发起人认缴和实缴的出资额、出资时间、出资方式等信息；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（五）有限责任公司股东股权转让等股权变更信息；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（六）企业网站以及从事网络经营的网店的名称、网址等信息；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（七）企业从业人数、资产总额、负债总额、对外提供保证担保、所有者权益合计、营业总收入、主营业务收入、利润总额、净利润、纳税总额信息。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即时信息：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（一）有限责任公司股东或者股份有限公司发起人认缴和实缴的出资额、出资时间、出资方式等信息；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（二）有限责任公司股东股权转让等股权变更信息；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（三）行政许可取得、变更、延续信息；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（四）知识产权出质登记信息；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（五）受到行政处罚的信息；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（六）其他依法应当公示的信息。</w:t>
            </w:r>
          </w:p>
        </w:tc>
        <w:tc>
          <w:tcPr>
            <w:tcW w:w="963" w:type="dxa"/>
            <w:tcBorders>
              <w:tl2br w:val="nil"/>
              <w:tr2bl w:val="nil"/>
            </w:tcBorders>
            <w:noWrap w:val="0"/>
            <w:vAlign w:val="center"/>
          </w:tcPr>
          <w:p w14:paraId="549C8BE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774BE96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1855D4A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548C1E57">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及《企业信息公示暂行条例》有规定。</w:t>
            </w:r>
          </w:p>
        </w:tc>
      </w:tr>
      <w:tr w14:paraId="61D98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53" w:hRule="atLeast"/>
          <w:jc w:val="center"/>
        </w:trPr>
        <w:tc>
          <w:tcPr>
            <w:tcW w:w="546" w:type="dxa"/>
            <w:tcBorders>
              <w:tl2br w:val="nil"/>
              <w:tr2bl w:val="nil"/>
            </w:tcBorders>
            <w:noWrap w:val="0"/>
            <w:vAlign w:val="center"/>
          </w:tcPr>
          <w:p w14:paraId="4F27F71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pPr>
            <w: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t>4</w:t>
            </w:r>
          </w:p>
        </w:tc>
        <w:tc>
          <w:tcPr>
            <w:tcW w:w="938" w:type="dxa"/>
            <w:tcBorders>
              <w:tl2br w:val="nil"/>
              <w:tr2bl w:val="nil"/>
            </w:tcBorders>
            <w:noWrap w:val="0"/>
            <w:vAlign w:val="center"/>
          </w:tcPr>
          <w:p w14:paraId="2CE993D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pPr>
            <w: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t>外国企业常驻代表机构监督管理</w:t>
            </w:r>
          </w:p>
        </w:tc>
        <w:tc>
          <w:tcPr>
            <w:tcW w:w="1200" w:type="dxa"/>
            <w:tcBorders>
              <w:tl2br w:val="nil"/>
              <w:tr2bl w:val="nil"/>
            </w:tcBorders>
            <w:noWrap w:val="0"/>
            <w:vAlign w:val="center"/>
          </w:tcPr>
          <w:p w14:paraId="441F3D7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县级以上市场监管部门</w:t>
            </w:r>
          </w:p>
        </w:tc>
        <w:tc>
          <w:tcPr>
            <w:tcW w:w="3537" w:type="dxa"/>
            <w:tcBorders>
              <w:tl2br w:val="nil"/>
              <w:tr2bl w:val="nil"/>
            </w:tcBorders>
            <w:noWrap w:val="0"/>
            <w:vAlign w:val="center"/>
          </w:tcPr>
          <w:p w14:paraId="4BB3D1CA">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pPr>
            <w: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t>《外国企业常驻代表机构登记管理条例》第九条、第十六条、第三十五条、第三十六条、第三十七条、第三十八条</w:t>
            </w:r>
          </w:p>
        </w:tc>
        <w:tc>
          <w:tcPr>
            <w:tcW w:w="938" w:type="dxa"/>
            <w:tcBorders>
              <w:tl2br w:val="nil"/>
              <w:tr2bl w:val="nil"/>
            </w:tcBorders>
            <w:noWrap w:val="0"/>
            <w:vAlign w:val="center"/>
          </w:tcPr>
          <w:p w14:paraId="5E03ABB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pPr>
            <w:r>
              <w:rPr>
                <w:rFonts w:hint="eastAsia" w:asciiTheme="minorEastAsia" w:hAnsiTheme="minorEastAsia" w:eastAsiaTheme="minorEastAsia" w:cstheme="minorEastAsia"/>
                <w:i w:val="0"/>
                <w:color w:val="auto"/>
                <w:spacing w:val="0"/>
                <w:kern w:val="0"/>
                <w:sz w:val="21"/>
                <w:szCs w:val="21"/>
                <w:highlight w:val="none"/>
                <w:u w:val="none"/>
                <w:lang w:val="en-US" w:eastAsia="zh-CN" w:bidi="ar"/>
              </w:rPr>
              <w:t>信用监管股、执法大队、市场监督管理所</w:t>
            </w:r>
          </w:p>
        </w:tc>
        <w:tc>
          <w:tcPr>
            <w:tcW w:w="825" w:type="dxa"/>
            <w:tcBorders>
              <w:tl2br w:val="nil"/>
              <w:tr2bl w:val="nil"/>
            </w:tcBorders>
            <w:noWrap w:val="0"/>
            <w:vAlign w:val="center"/>
          </w:tcPr>
          <w:p w14:paraId="67F7BA0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外国企业常驻代表机构</w:t>
            </w:r>
          </w:p>
        </w:tc>
        <w:tc>
          <w:tcPr>
            <w:tcW w:w="3737" w:type="dxa"/>
            <w:tcBorders>
              <w:tl2br w:val="nil"/>
              <w:tr2bl w:val="nil"/>
            </w:tcBorders>
            <w:noWrap w:val="0"/>
            <w:vAlign w:val="center"/>
          </w:tcPr>
          <w:p w14:paraId="7B92DC86">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代表机构名称、首席代表姓名、业务范围、驻在场所、驻在期限、外国企业名称、住所和年度报告。</w:t>
            </w:r>
          </w:p>
        </w:tc>
        <w:tc>
          <w:tcPr>
            <w:tcW w:w="963" w:type="dxa"/>
            <w:tcBorders>
              <w:tl2br w:val="nil"/>
              <w:tr2bl w:val="nil"/>
            </w:tcBorders>
            <w:noWrap w:val="0"/>
            <w:vAlign w:val="center"/>
          </w:tcPr>
          <w:p w14:paraId="61CC1B0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715CF989">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11412C1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16016AE4">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3D552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40" w:hRule="atLeast"/>
          <w:jc w:val="center"/>
        </w:trPr>
        <w:tc>
          <w:tcPr>
            <w:tcW w:w="546" w:type="dxa"/>
            <w:tcBorders>
              <w:tl2br w:val="nil"/>
              <w:tr2bl w:val="nil"/>
            </w:tcBorders>
            <w:noWrap w:val="0"/>
            <w:vAlign w:val="center"/>
          </w:tcPr>
          <w:p w14:paraId="330B4DEF">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5</w:t>
            </w:r>
          </w:p>
        </w:tc>
        <w:tc>
          <w:tcPr>
            <w:tcW w:w="938" w:type="dxa"/>
            <w:tcBorders>
              <w:tl2br w:val="nil"/>
              <w:tr2bl w:val="nil"/>
            </w:tcBorders>
            <w:noWrap w:val="0"/>
            <w:vAlign w:val="center"/>
          </w:tcPr>
          <w:p w14:paraId="4F44929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经营者销售、收购商品和提供服务时应按规定明码标价</w:t>
            </w:r>
          </w:p>
        </w:tc>
        <w:tc>
          <w:tcPr>
            <w:tcW w:w="1200" w:type="dxa"/>
            <w:tcBorders>
              <w:tl2br w:val="nil"/>
              <w:tr2bl w:val="nil"/>
            </w:tcBorders>
            <w:noWrap w:val="0"/>
            <w:vAlign w:val="center"/>
          </w:tcPr>
          <w:p w14:paraId="43A95A7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69792A6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4550E83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4FFF4067">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《中华人民共和国价格法》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第四十二条 经营者违反明码标价规定的,责令改正,没收违法所得,可以并处五千元以下的罚款。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《价格违法行为行政处罚规定》</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第十三条 经营者违反明码标价规定,有下列行为之一的,责令改正,没收违法所得,可以并处5000元以下的罚款：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(一)不标明价格的;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(二)不按照规定的内容和方式明码标价的;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(三)在标价之外加价出售商品或者收取未标明的费用的;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(四)违反明码标价规定的其他行为。</w:t>
            </w:r>
          </w:p>
        </w:tc>
        <w:tc>
          <w:tcPr>
            <w:tcW w:w="938" w:type="dxa"/>
            <w:tcBorders>
              <w:tl2br w:val="nil"/>
              <w:tr2bl w:val="nil"/>
            </w:tcBorders>
            <w:noWrap w:val="0"/>
            <w:vAlign w:val="center"/>
          </w:tcPr>
          <w:p w14:paraId="426875A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价格监管股、执法大队、市监所</w:t>
            </w:r>
          </w:p>
        </w:tc>
        <w:tc>
          <w:tcPr>
            <w:tcW w:w="825" w:type="dxa"/>
            <w:tcBorders>
              <w:tl2br w:val="nil"/>
              <w:tr2bl w:val="nil"/>
            </w:tcBorders>
            <w:noWrap w:val="0"/>
            <w:vAlign w:val="center"/>
          </w:tcPr>
          <w:p w14:paraId="3DAD65B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314D0DB1">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1.商品品名、单价、计价单位等要素是否齐全。</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2.服务项目名称、服务内容和价格或计价方式是否齐全。</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3.商品在销售时是否使用标价签或标价签遗失。</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4.收取费用是否高于商品、服务的标价。</w:t>
            </w:r>
          </w:p>
        </w:tc>
        <w:tc>
          <w:tcPr>
            <w:tcW w:w="963" w:type="dxa"/>
            <w:tcBorders>
              <w:tl2br w:val="nil"/>
              <w:tr2bl w:val="nil"/>
            </w:tcBorders>
            <w:noWrap w:val="0"/>
            <w:vAlign w:val="center"/>
          </w:tcPr>
          <w:p w14:paraId="0CF5019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689F356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4E59C30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24546BF8">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重大节假日、重点时段开展市场随机巡查</w:t>
            </w:r>
          </w:p>
        </w:tc>
      </w:tr>
      <w:tr w14:paraId="42393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4C263C64">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6</w:t>
            </w:r>
          </w:p>
        </w:tc>
        <w:tc>
          <w:tcPr>
            <w:tcW w:w="938" w:type="dxa"/>
            <w:tcBorders>
              <w:tl2br w:val="nil"/>
              <w:tr2bl w:val="nil"/>
            </w:tcBorders>
            <w:noWrap w:val="0"/>
            <w:vAlign w:val="center"/>
          </w:tcPr>
          <w:p w14:paraId="0683DF6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经营者执行政府指导价、政府定价以及法定的价格干预措施、紧急措施</w:t>
            </w:r>
          </w:p>
        </w:tc>
        <w:tc>
          <w:tcPr>
            <w:tcW w:w="1200" w:type="dxa"/>
            <w:tcBorders>
              <w:tl2br w:val="nil"/>
              <w:tr2bl w:val="nil"/>
            </w:tcBorders>
            <w:noWrap w:val="0"/>
            <w:vAlign w:val="center"/>
          </w:tcPr>
          <w:p w14:paraId="2CA318B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312F6A8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7F4B9C7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21EA08D2">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《中华人民共和国价格法》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《价格违法行为行政处罚规定》</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（一)超出政府指导价浮动幅度制定价格的；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(二）高于或者低于政府定价制定价格的；（三）擅自制定属于政府指导价、政府定价范围内的商品或者服务价格的；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（四）提前或者推迟执行政府指导价、政府定价的；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（五）自立收费项目或者自定标准收费的；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（六）采取分解收费项目、重复收费、扩大收费范围等方式交相提高收费标准的；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（七）对政府明令取消的收费项目继续收费的：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（八）违反规定以保证金、抵押金等形式变相收费的；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（九）强制或者变相强制服务并收费的；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（十）不按照规定提供服务而收取费用的；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（十一）不执行政府指导价、政府定价的其他行为。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第十条 经营者不执行法定的价格干预措施、紧急措施，有下列行为之一的，责令改正，没收违法所得，并处违法所得5倍以下的罚款；没有违法所得的，处10万元以上100万元以下的罚教，情节较重的处100万元以上500万元以下的罚款；情节严重的，责令停业整顿：</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（一）不执行提价申报或者调价备案制度的;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（二）超过规定的差价率、利润率幅度的；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（三）不执行规定的限价、最低保护价的；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（四）不执行集中定价权限措施的；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（五）不执行冻结价格措施的；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（六）不执行法定的价格干预措施、紧急措施的其他行为。</w:t>
            </w:r>
          </w:p>
        </w:tc>
        <w:tc>
          <w:tcPr>
            <w:tcW w:w="938" w:type="dxa"/>
            <w:tcBorders>
              <w:tl2br w:val="nil"/>
              <w:tr2bl w:val="nil"/>
            </w:tcBorders>
            <w:noWrap w:val="0"/>
            <w:vAlign w:val="center"/>
          </w:tcPr>
          <w:p w14:paraId="5605868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价格监管股、执法大队、市监所</w:t>
            </w:r>
          </w:p>
        </w:tc>
        <w:tc>
          <w:tcPr>
            <w:tcW w:w="825" w:type="dxa"/>
            <w:tcBorders>
              <w:tl2br w:val="nil"/>
              <w:tr2bl w:val="nil"/>
            </w:tcBorders>
            <w:noWrap w:val="0"/>
            <w:vAlign w:val="center"/>
          </w:tcPr>
          <w:p w14:paraId="3A27600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1E3D4911">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1.经营者是否执行政府指导价、政府定价;</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2.经营者是否执行法定价格干预措施、紧急措施。</w:t>
            </w:r>
          </w:p>
        </w:tc>
        <w:tc>
          <w:tcPr>
            <w:tcW w:w="963" w:type="dxa"/>
            <w:tcBorders>
              <w:tl2br w:val="nil"/>
              <w:tr2bl w:val="nil"/>
            </w:tcBorders>
            <w:noWrap w:val="0"/>
            <w:vAlign w:val="center"/>
          </w:tcPr>
          <w:p w14:paraId="1FA27E8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20A5815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按本单位每年3月底前</w:t>
            </w:r>
          </w:p>
          <w:p w14:paraId="7F42AFE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报经同级司法行政部门备案审查的涉企年度行政检查计划执行</w:t>
            </w:r>
          </w:p>
        </w:tc>
        <w:tc>
          <w:tcPr>
            <w:tcW w:w="1994" w:type="dxa"/>
            <w:tcBorders>
              <w:tl2br w:val="nil"/>
              <w:tr2bl w:val="nil"/>
            </w:tcBorders>
            <w:noWrap w:val="0"/>
            <w:vAlign w:val="center"/>
          </w:tcPr>
          <w:p w14:paraId="16E7C8B1">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0F3E9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90" w:hRule="atLeast"/>
          <w:jc w:val="center"/>
        </w:trPr>
        <w:tc>
          <w:tcPr>
            <w:tcW w:w="546" w:type="dxa"/>
            <w:tcBorders>
              <w:tl2br w:val="nil"/>
              <w:tr2bl w:val="nil"/>
            </w:tcBorders>
            <w:noWrap w:val="0"/>
            <w:vAlign w:val="center"/>
          </w:tcPr>
          <w:p w14:paraId="0A950DF8">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7</w:t>
            </w:r>
          </w:p>
        </w:tc>
        <w:tc>
          <w:tcPr>
            <w:tcW w:w="938" w:type="dxa"/>
            <w:tcBorders>
              <w:tl2br w:val="nil"/>
              <w:tr2bl w:val="nil"/>
            </w:tcBorders>
            <w:noWrap w:val="0"/>
            <w:vAlign w:val="center"/>
          </w:tcPr>
          <w:p w14:paraId="0CF0A52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经营者提供商品或服务禁止价格欺诈行为</w:t>
            </w:r>
          </w:p>
        </w:tc>
        <w:tc>
          <w:tcPr>
            <w:tcW w:w="1200" w:type="dxa"/>
            <w:tcBorders>
              <w:tl2br w:val="nil"/>
              <w:tr2bl w:val="nil"/>
            </w:tcBorders>
            <w:noWrap w:val="0"/>
            <w:vAlign w:val="center"/>
          </w:tcPr>
          <w:p w14:paraId="5E859F6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01E5BEA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64364CD8">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7ECABA10">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《中华人民共和国价格法》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第十四条第四项 经营者不得有下列不正当价格行为：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（四)利用虛假的或者使人误解的价格手段，诱骗消费者或者其他经营者与其进行交易；</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第四十条 经营者有本法第十四条所列行为之一的，责令改正，没收违法所得，可以并处违法所得五倍以下的罚款；没有违法所得的，子以警告，可以并处罚款；情书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《价格违法行为行政处罚规定》</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第七条 经营者违反价格法第十四条的规定，利用虛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938" w:type="dxa"/>
            <w:tcBorders>
              <w:tl2br w:val="nil"/>
              <w:tr2bl w:val="nil"/>
            </w:tcBorders>
            <w:noWrap w:val="0"/>
            <w:vAlign w:val="center"/>
          </w:tcPr>
          <w:p w14:paraId="3245767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价格监管股、执法大队、市监所</w:t>
            </w:r>
          </w:p>
        </w:tc>
        <w:tc>
          <w:tcPr>
            <w:tcW w:w="825" w:type="dxa"/>
            <w:tcBorders>
              <w:tl2br w:val="nil"/>
              <w:tr2bl w:val="nil"/>
            </w:tcBorders>
            <w:noWrap w:val="0"/>
            <w:vAlign w:val="center"/>
          </w:tcPr>
          <w:p w14:paraId="0536C5E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16793A0B">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1.是否谎称商品和服务价格为政府定价或者政府指导价；</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2.是否以低价诱骗消费者或者其他经营者，以高价进行结算；</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3.是否通过虛假折价、减价或者价格比较等方式销售商品或者提供服务；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4.是否销售商品或者提供服务时，使用欺骗性、误导性的语言、文宇、数字、图片或者视频等标示价格以及其他价格信息；</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5.是否无正当理由拒绝履行或者不完全履行价格承诺；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6.是否不标示或者显著弱化标示对消费者或者其他经营者不利的价格条件，诱骗消费者或者其他经营者与其进行交易；</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7.是否通过积分、礼券、兑换券、代金券等折抵价款时，拒不按约定折抵价款。</w:t>
            </w:r>
          </w:p>
        </w:tc>
        <w:tc>
          <w:tcPr>
            <w:tcW w:w="963" w:type="dxa"/>
            <w:tcBorders>
              <w:tl2br w:val="nil"/>
              <w:tr2bl w:val="nil"/>
            </w:tcBorders>
            <w:noWrap w:val="0"/>
            <w:vAlign w:val="center"/>
          </w:tcPr>
          <w:p w14:paraId="0FF876A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3DBAF1F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7ECAE3D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05B1E59C">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依据投诉举报进行现场核查</w:t>
            </w:r>
          </w:p>
        </w:tc>
      </w:tr>
      <w:tr w14:paraId="4AFA5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7FE59C0D">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8</w:t>
            </w:r>
          </w:p>
        </w:tc>
        <w:tc>
          <w:tcPr>
            <w:tcW w:w="938" w:type="dxa"/>
            <w:tcBorders>
              <w:tl2br w:val="nil"/>
              <w:tr2bl w:val="nil"/>
            </w:tcBorders>
            <w:noWrap w:val="0"/>
            <w:vAlign w:val="center"/>
          </w:tcPr>
          <w:p w14:paraId="5CD1982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经营者不得哄抬价格</w:t>
            </w:r>
          </w:p>
        </w:tc>
        <w:tc>
          <w:tcPr>
            <w:tcW w:w="1200" w:type="dxa"/>
            <w:tcBorders>
              <w:tl2br w:val="nil"/>
              <w:tr2bl w:val="nil"/>
            </w:tcBorders>
            <w:noWrap w:val="0"/>
            <w:vAlign w:val="center"/>
          </w:tcPr>
          <w:p w14:paraId="1030950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2360BA4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6B5928F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3AEF83EF">
            <w:pPr>
              <w:keepNext w:val="0"/>
              <w:keepLines w:val="0"/>
              <w:pageBreakBefore w:val="0"/>
              <w:widowControl w:val="0"/>
              <w:suppressLineNumbers w:val="0"/>
              <w:kinsoku/>
              <w:wordWrap/>
              <w:overflowPunct/>
              <w:topLinePunct w:val="0"/>
              <w:autoSpaceDE/>
              <w:autoSpaceDN/>
              <w:bidi w:val="0"/>
              <w:adjustRightInd/>
              <w:snapToGrid/>
              <w:spacing w:line="25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《中华人民共和国价格法》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第十四条第三项 经营者不得有下列不正当价格行为：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（三）捏造、散布涨价信息，哄抬价格，推动商品价格过高上涨的；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《价格违法行为行政处罚规定》</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第六条第一款 经营者违反价格法第十四条的规定，有下列推动商品价格过快、过高上涨行为之一的，责令政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（一）捏造、散布涨价信息，扰乱市场价格秩序的；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（二）除生产自用外，超出正常的存储数量或者存储周期，大量囤积市场供应紧张、价格发生异常波动的商品，经价格主管部门告诫仍继续囤积的；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（三）利用其他手段哄抬价格，推动商品价格过快、过高上涨的。</w:t>
            </w:r>
          </w:p>
        </w:tc>
        <w:tc>
          <w:tcPr>
            <w:tcW w:w="938" w:type="dxa"/>
            <w:tcBorders>
              <w:tl2br w:val="nil"/>
              <w:tr2bl w:val="nil"/>
            </w:tcBorders>
            <w:noWrap w:val="0"/>
            <w:vAlign w:val="center"/>
          </w:tcPr>
          <w:p w14:paraId="5A3BCEF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价格监管股、执法大队、市监所</w:t>
            </w:r>
            <w:r>
              <w:rPr>
                <w:rFonts w:hint="eastAsia" w:asciiTheme="minorEastAsia" w:hAnsiTheme="minorEastAsia" w:eastAsiaTheme="minorEastAsia" w:cstheme="minorEastAsia"/>
                <w:i w:val="0"/>
                <w:color w:val="auto"/>
                <w:spacing w:val="0"/>
                <w:kern w:val="0"/>
                <w:sz w:val="21"/>
                <w:szCs w:val="21"/>
                <w:u w:val="none"/>
                <w:lang w:val="en-US" w:eastAsia="zh-CN" w:bidi="ar"/>
              </w:rPr>
              <w:t>。</w:t>
            </w:r>
          </w:p>
        </w:tc>
        <w:tc>
          <w:tcPr>
            <w:tcW w:w="825" w:type="dxa"/>
            <w:tcBorders>
              <w:tl2br w:val="nil"/>
              <w:tr2bl w:val="nil"/>
            </w:tcBorders>
            <w:noWrap w:val="0"/>
            <w:vAlign w:val="center"/>
          </w:tcPr>
          <w:p w14:paraId="6868AD3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316AA758">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经营者是否捏造、散布涨价信息，哄抬价格，推动商品价格过快、过高上涨。</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p>
        </w:tc>
        <w:tc>
          <w:tcPr>
            <w:tcW w:w="963" w:type="dxa"/>
            <w:tcBorders>
              <w:tl2br w:val="nil"/>
              <w:tr2bl w:val="nil"/>
            </w:tcBorders>
            <w:noWrap w:val="0"/>
            <w:vAlign w:val="center"/>
          </w:tcPr>
          <w:p w14:paraId="4837AAB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478B9599">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3398C43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58544E9A">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依据投诉举报进行现场核查</w:t>
            </w:r>
          </w:p>
        </w:tc>
      </w:tr>
      <w:tr w14:paraId="6BC1F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0B521A97">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9</w:t>
            </w:r>
          </w:p>
        </w:tc>
        <w:tc>
          <w:tcPr>
            <w:tcW w:w="938" w:type="dxa"/>
            <w:tcBorders>
              <w:tl2br w:val="nil"/>
              <w:tr2bl w:val="nil"/>
            </w:tcBorders>
            <w:noWrap w:val="0"/>
            <w:vAlign w:val="center"/>
          </w:tcPr>
          <w:p w14:paraId="7F8706F1">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经营者不得擅自使用与他人有一定影响的商品名称、包装、装潢等相同或者近似的标识。不得擅自使用他人有一定影响的企业名称、社会组织名称、姓名</w:t>
            </w:r>
          </w:p>
        </w:tc>
        <w:tc>
          <w:tcPr>
            <w:tcW w:w="1200" w:type="dxa"/>
            <w:tcBorders>
              <w:tl2br w:val="nil"/>
              <w:tr2bl w:val="nil"/>
            </w:tcBorders>
            <w:noWrap w:val="0"/>
            <w:vAlign w:val="center"/>
          </w:tcPr>
          <w:p w14:paraId="2DAB3BAB">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11CE36BF">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15392D6B">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1E061232">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《中华人民共和国反不正当竞争法》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938" w:type="dxa"/>
            <w:tcBorders>
              <w:tl2br w:val="nil"/>
              <w:tr2bl w:val="nil"/>
            </w:tcBorders>
            <w:noWrap w:val="0"/>
            <w:vAlign w:val="center"/>
          </w:tcPr>
          <w:p w14:paraId="39BDB141">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经济检查股、执法大队、市监所</w:t>
            </w:r>
          </w:p>
        </w:tc>
        <w:tc>
          <w:tcPr>
            <w:tcW w:w="825" w:type="dxa"/>
            <w:tcBorders>
              <w:tl2br w:val="nil"/>
              <w:tr2bl w:val="nil"/>
            </w:tcBorders>
            <w:noWrap w:val="0"/>
            <w:vAlign w:val="center"/>
          </w:tcPr>
          <w:p w14:paraId="1B446B55">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62C40E01">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经营者是否擅自使用与他人有一定影响的商品名称、包装、装潢等相同或者近似的标识，引人误认为是他人商品或者与他人存在特定联系。</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p>
        </w:tc>
        <w:tc>
          <w:tcPr>
            <w:tcW w:w="963" w:type="dxa"/>
            <w:tcBorders>
              <w:tl2br w:val="nil"/>
              <w:tr2bl w:val="nil"/>
            </w:tcBorders>
            <w:noWrap w:val="0"/>
            <w:vAlign w:val="center"/>
          </w:tcPr>
          <w:p w14:paraId="4A77924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673E6F0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2AFA4A7F">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000000"/>
                <w:spacing w:val="0"/>
                <w:kern w:val="0"/>
                <w:sz w:val="21"/>
                <w:szCs w:val="21"/>
                <w:u w:val="none"/>
                <w:lang w:val="en-US" w:eastAsia="zh-CN" w:bidi="ar"/>
              </w:rPr>
              <w:t>专项检查与重点检查相结合</w:t>
            </w:r>
          </w:p>
        </w:tc>
      </w:tr>
      <w:tr w14:paraId="4E855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27EF1F20">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10</w:t>
            </w:r>
          </w:p>
        </w:tc>
        <w:tc>
          <w:tcPr>
            <w:tcW w:w="938" w:type="dxa"/>
            <w:tcBorders>
              <w:tl2br w:val="nil"/>
              <w:tr2bl w:val="nil"/>
            </w:tcBorders>
            <w:noWrap w:val="0"/>
            <w:vAlign w:val="center"/>
          </w:tcPr>
          <w:p w14:paraId="6C54B57E">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经营者不得采用财物或者其他手段贿赂相关单位或者个人</w:t>
            </w:r>
          </w:p>
        </w:tc>
        <w:tc>
          <w:tcPr>
            <w:tcW w:w="1200" w:type="dxa"/>
            <w:tcBorders>
              <w:tl2br w:val="nil"/>
              <w:tr2bl w:val="nil"/>
            </w:tcBorders>
            <w:noWrap w:val="0"/>
            <w:vAlign w:val="center"/>
          </w:tcPr>
          <w:p w14:paraId="29EA2A16">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2D241CBF">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01AA3415">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672EF29D">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《中华人民共和国反不正当竞争法》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第十九条 经营者违反本法第七条规定贿赂他人的，由监督检查部门没收违法所得，处十万元以上三百万元以下的罚款。情节严重的，吊销营业执照。</w:t>
            </w:r>
          </w:p>
        </w:tc>
        <w:tc>
          <w:tcPr>
            <w:tcW w:w="938" w:type="dxa"/>
            <w:tcBorders>
              <w:tl2br w:val="nil"/>
              <w:tr2bl w:val="nil"/>
            </w:tcBorders>
            <w:noWrap w:val="0"/>
            <w:vAlign w:val="center"/>
          </w:tcPr>
          <w:p w14:paraId="1144A436">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经济检查股、、执法大队、市监所</w:t>
            </w:r>
          </w:p>
        </w:tc>
        <w:tc>
          <w:tcPr>
            <w:tcW w:w="825" w:type="dxa"/>
            <w:tcBorders>
              <w:tl2br w:val="nil"/>
              <w:tr2bl w:val="nil"/>
            </w:tcBorders>
            <w:noWrap w:val="0"/>
            <w:vAlign w:val="center"/>
          </w:tcPr>
          <w:p w14:paraId="2BD1EA13">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26D4A621">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经营者是否采用财物或者其他手段贿赂下列单位或者个人，以谋取交易机会或者竞争优势：</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(一)交易相对方的工作人员；</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(二)受交易相对方委托办理相关事务的单位或者个人；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（三)利用职权或者影响力影响交易的单位或者个人。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如：某药品经营企业为向某医院销售药品，暗中给予该医院药品采购人员销售回扣。</w:t>
            </w:r>
          </w:p>
        </w:tc>
        <w:tc>
          <w:tcPr>
            <w:tcW w:w="963" w:type="dxa"/>
            <w:tcBorders>
              <w:tl2br w:val="nil"/>
              <w:tr2bl w:val="nil"/>
            </w:tcBorders>
            <w:noWrap w:val="0"/>
            <w:vAlign w:val="center"/>
          </w:tcPr>
          <w:p w14:paraId="13B2136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28D45E3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w:t>
            </w:r>
          </w:p>
          <w:p w14:paraId="3838CA2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报经同级司法行政部门备案审查的涉企年度行政检查计划执行</w:t>
            </w:r>
          </w:p>
        </w:tc>
        <w:tc>
          <w:tcPr>
            <w:tcW w:w="1994" w:type="dxa"/>
            <w:tcBorders>
              <w:tl2br w:val="nil"/>
              <w:tr2bl w:val="nil"/>
            </w:tcBorders>
            <w:noWrap w:val="0"/>
            <w:vAlign w:val="center"/>
          </w:tcPr>
          <w:p w14:paraId="7F70BC49">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4EC9D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86" w:hRule="atLeast"/>
          <w:jc w:val="center"/>
        </w:trPr>
        <w:tc>
          <w:tcPr>
            <w:tcW w:w="546" w:type="dxa"/>
            <w:tcBorders>
              <w:tl2br w:val="nil"/>
              <w:tr2bl w:val="nil"/>
            </w:tcBorders>
            <w:noWrap w:val="0"/>
            <w:vAlign w:val="center"/>
          </w:tcPr>
          <w:p w14:paraId="0B981B69">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11</w:t>
            </w:r>
          </w:p>
        </w:tc>
        <w:tc>
          <w:tcPr>
            <w:tcW w:w="938" w:type="dxa"/>
            <w:tcBorders>
              <w:tl2br w:val="nil"/>
              <w:tr2bl w:val="nil"/>
            </w:tcBorders>
            <w:noWrap w:val="0"/>
            <w:vAlign w:val="center"/>
          </w:tcPr>
          <w:p w14:paraId="5147AF9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经营者不得作虚假或者引人误解的商业宣传，欺骗和误导消费者，不得帮助其他经营者进行虚假或者引人误解的商业宣传</w:t>
            </w:r>
          </w:p>
        </w:tc>
        <w:tc>
          <w:tcPr>
            <w:tcW w:w="1200" w:type="dxa"/>
            <w:tcBorders>
              <w:tl2br w:val="nil"/>
              <w:tr2bl w:val="nil"/>
            </w:tcBorders>
            <w:noWrap w:val="0"/>
            <w:vAlign w:val="center"/>
          </w:tcPr>
          <w:p w14:paraId="53D187B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3E09077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45DB344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6F5673F4">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《中华人民共和国反不正当竞争法》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第二十条第一款 经营者违反本法第八条规定对其商品作虛假或者引人误解的商业宣传，或者通过组织虚假交易等方式帮助其他经营者进行虛假或者引人误解的商业宣传的，由监督检查部门责令停止违法行为，处二十万元以上一百万元以下的罚款；情节严重的，处一百万元以上二百万元以下的罚款，可以吊销营业执照。</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《网络交易监督管理办法》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第十四条第二款第四项 网络交易经营者不得以下列方式，作虛假或者引人误解的商业宣传，欺骗、误导消费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(四）虛构点击量、关注度等流量数据，以及虛构点赞、打赏等交易互动数据。</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第四十三条 网络交易经营者违反本办法第十四条的，依照《中华人民共和国反不正当竞争法》的相关规定进行处罚。</w:t>
            </w:r>
          </w:p>
        </w:tc>
        <w:tc>
          <w:tcPr>
            <w:tcW w:w="938" w:type="dxa"/>
            <w:tcBorders>
              <w:tl2br w:val="nil"/>
              <w:tr2bl w:val="nil"/>
            </w:tcBorders>
            <w:noWrap w:val="0"/>
            <w:vAlign w:val="center"/>
          </w:tcPr>
          <w:p w14:paraId="725C5E7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经济检查股、执法大队、市监所</w:t>
            </w:r>
          </w:p>
        </w:tc>
        <w:tc>
          <w:tcPr>
            <w:tcW w:w="825" w:type="dxa"/>
            <w:tcBorders>
              <w:tl2br w:val="nil"/>
              <w:tr2bl w:val="nil"/>
            </w:tcBorders>
            <w:noWrap w:val="0"/>
            <w:vAlign w:val="center"/>
          </w:tcPr>
          <w:p w14:paraId="263BC93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378D45EE">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是否对其商品的性能、功能、质量、销售状况、用户评价、曾获荣誉等作虛假或者引人误解的商业宣传，欺骗、误导消费者。经营者是否通过组织虛假交易等方式，帮助其他经营者进行虛假或者引人误解的商业宣传。</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p>
        </w:tc>
        <w:tc>
          <w:tcPr>
            <w:tcW w:w="963" w:type="dxa"/>
            <w:tcBorders>
              <w:tl2br w:val="nil"/>
              <w:tr2bl w:val="nil"/>
            </w:tcBorders>
            <w:noWrap w:val="0"/>
            <w:vAlign w:val="center"/>
          </w:tcPr>
          <w:p w14:paraId="2EA9A8F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67464AF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09D18164">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7E259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90" w:hRule="atLeast"/>
          <w:jc w:val="center"/>
        </w:trPr>
        <w:tc>
          <w:tcPr>
            <w:tcW w:w="546" w:type="dxa"/>
            <w:tcBorders>
              <w:tl2br w:val="nil"/>
              <w:tr2bl w:val="nil"/>
            </w:tcBorders>
            <w:noWrap w:val="0"/>
            <w:vAlign w:val="center"/>
          </w:tcPr>
          <w:p w14:paraId="7FB03166">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12</w:t>
            </w:r>
          </w:p>
        </w:tc>
        <w:tc>
          <w:tcPr>
            <w:tcW w:w="938" w:type="dxa"/>
            <w:tcBorders>
              <w:tl2br w:val="nil"/>
              <w:tr2bl w:val="nil"/>
            </w:tcBorders>
            <w:noWrap w:val="0"/>
            <w:vAlign w:val="center"/>
          </w:tcPr>
          <w:p w14:paraId="149D0D9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经营者不得实施侵犯商业秘密的行为</w:t>
            </w:r>
          </w:p>
        </w:tc>
        <w:tc>
          <w:tcPr>
            <w:tcW w:w="1200" w:type="dxa"/>
            <w:tcBorders>
              <w:tl2br w:val="nil"/>
              <w:tr2bl w:val="nil"/>
            </w:tcBorders>
            <w:noWrap w:val="0"/>
            <w:vAlign w:val="center"/>
          </w:tcPr>
          <w:p w14:paraId="2E9EEB9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7FA16E4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0AE335A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4D63436D">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《中华人民共和国反不正当竞争法》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938" w:type="dxa"/>
            <w:tcBorders>
              <w:tl2br w:val="nil"/>
              <w:tr2bl w:val="nil"/>
            </w:tcBorders>
            <w:noWrap w:val="0"/>
            <w:vAlign w:val="center"/>
          </w:tcPr>
          <w:p w14:paraId="70B03A6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经济检查股、执法大队、市监所</w:t>
            </w:r>
          </w:p>
        </w:tc>
        <w:tc>
          <w:tcPr>
            <w:tcW w:w="825" w:type="dxa"/>
            <w:tcBorders>
              <w:tl2br w:val="nil"/>
              <w:tr2bl w:val="nil"/>
            </w:tcBorders>
            <w:noWrap w:val="0"/>
            <w:vAlign w:val="center"/>
          </w:tcPr>
          <w:p w14:paraId="5C15009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1869B15A">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经萱者是否侵犯商业秘密：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1.以盗窃、贿赂、欺诈、胁迫、电子侵入或者其他不正当手段获取权利人的商业秘密；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2.披露、使用或者允许他人使用以第1条所列手段获取的权利人的商业秘密；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3.违反保密义务或者违反权利人有关保守商业秘密的要求，披露、使用或者允许他人使用其所掌握的商业秘密;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4.教唆、引诱、帮助他人违反保密义务或者违反权利人有关保守商业秘密的要求，获取、披露、使用或者允许他人使用权利人的商业秘密。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p>
        </w:tc>
        <w:tc>
          <w:tcPr>
            <w:tcW w:w="963" w:type="dxa"/>
            <w:tcBorders>
              <w:tl2br w:val="nil"/>
              <w:tr2bl w:val="nil"/>
            </w:tcBorders>
            <w:noWrap w:val="0"/>
            <w:vAlign w:val="center"/>
          </w:tcPr>
          <w:p w14:paraId="7500A98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1F5B128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22538A44">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527F0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46" w:type="dxa"/>
            <w:tcBorders>
              <w:tl2br w:val="nil"/>
              <w:tr2bl w:val="nil"/>
            </w:tcBorders>
            <w:noWrap w:val="0"/>
            <w:vAlign w:val="center"/>
          </w:tcPr>
          <w:p w14:paraId="57141D5B">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13</w:t>
            </w:r>
          </w:p>
        </w:tc>
        <w:tc>
          <w:tcPr>
            <w:tcW w:w="938" w:type="dxa"/>
            <w:tcBorders>
              <w:tl2br w:val="nil"/>
              <w:tr2bl w:val="nil"/>
            </w:tcBorders>
            <w:noWrap w:val="0"/>
            <w:vAlign w:val="center"/>
          </w:tcPr>
          <w:p w14:paraId="19001BF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经营者不得进行违法有奖销售行为</w:t>
            </w:r>
          </w:p>
        </w:tc>
        <w:tc>
          <w:tcPr>
            <w:tcW w:w="1200" w:type="dxa"/>
            <w:tcBorders>
              <w:tl2br w:val="nil"/>
              <w:tr2bl w:val="nil"/>
            </w:tcBorders>
            <w:noWrap w:val="0"/>
            <w:vAlign w:val="center"/>
          </w:tcPr>
          <w:p w14:paraId="0A0DD29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66481F6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12700B8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7D4AD575">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《中华人民共和国反不正当竞争法》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第二十二条 经营者违反本法第十条规定进行有奖销售的，由监督检查部门责今停止违法行为，处五万元以上五十万元以下的罚款。</w:t>
            </w:r>
          </w:p>
        </w:tc>
        <w:tc>
          <w:tcPr>
            <w:tcW w:w="938" w:type="dxa"/>
            <w:tcBorders>
              <w:tl2br w:val="nil"/>
              <w:tr2bl w:val="nil"/>
            </w:tcBorders>
            <w:noWrap w:val="0"/>
            <w:vAlign w:val="center"/>
          </w:tcPr>
          <w:p w14:paraId="5639535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经济检查股、执法大队、市监所</w:t>
            </w:r>
          </w:p>
        </w:tc>
        <w:tc>
          <w:tcPr>
            <w:tcW w:w="825" w:type="dxa"/>
            <w:tcBorders>
              <w:tl2br w:val="nil"/>
              <w:tr2bl w:val="nil"/>
            </w:tcBorders>
            <w:noWrap w:val="0"/>
            <w:vAlign w:val="center"/>
          </w:tcPr>
          <w:p w14:paraId="0CA4C08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3F015FA8">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经营者进行有奖销售是否存在下列情形：</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1.有奖销售所设奖的种类、兑奖条件、奖金金额或者奖品等有奖销售信息不明确，影响兑奖；</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2.经营者采用谎称有奖或者故意让内定人员中奖的欺骗方式进行有奖销售；</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3.抽奖式的有奖销售，最高奖的金额超过五万元。</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p>
        </w:tc>
        <w:tc>
          <w:tcPr>
            <w:tcW w:w="963" w:type="dxa"/>
            <w:tcBorders>
              <w:tl2br w:val="nil"/>
              <w:tr2bl w:val="nil"/>
            </w:tcBorders>
            <w:noWrap w:val="0"/>
            <w:vAlign w:val="center"/>
          </w:tcPr>
          <w:p w14:paraId="6B3A521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0C5DE54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1C49B759">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12B6E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7" w:hRule="atLeast"/>
          <w:jc w:val="center"/>
        </w:trPr>
        <w:tc>
          <w:tcPr>
            <w:tcW w:w="546" w:type="dxa"/>
            <w:tcBorders>
              <w:tl2br w:val="nil"/>
              <w:tr2bl w:val="nil"/>
            </w:tcBorders>
            <w:noWrap w:val="0"/>
            <w:vAlign w:val="center"/>
          </w:tcPr>
          <w:p w14:paraId="3BD62A1A">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14</w:t>
            </w:r>
          </w:p>
        </w:tc>
        <w:tc>
          <w:tcPr>
            <w:tcW w:w="938" w:type="dxa"/>
            <w:tcBorders>
              <w:tl2br w:val="nil"/>
              <w:tr2bl w:val="nil"/>
            </w:tcBorders>
            <w:noWrap w:val="0"/>
            <w:vAlign w:val="center"/>
          </w:tcPr>
          <w:p w14:paraId="744D4D6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经营者不得编造、传播虚假信息或者误导性信息，损害竞争对手的商业信誉、商品声誉</w:t>
            </w:r>
          </w:p>
        </w:tc>
        <w:tc>
          <w:tcPr>
            <w:tcW w:w="1200" w:type="dxa"/>
            <w:tcBorders>
              <w:tl2br w:val="nil"/>
              <w:tr2bl w:val="nil"/>
            </w:tcBorders>
            <w:noWrap w:val="0"/>
            <w:vAlign w:val="center"/>
          </w:tcPr>
          <w:p w14:paraId="1F62B5C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63B8B37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4695733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33BEA763">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《中华人民共和国反不正当竞争法》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第十一条 经营者不得编造、传播虚假信息或者误导性信息，损害竞争对手的商业信誉、商品声誉。</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第二十三条 经营者违反本法第十一条规定损害竞爭对手商业信誉、商品声誉的，由监督检查部门责令停止违法行为、消除影响，处十万元以上五十万元以下的罚款；情节严重的，处五十万元以上三百万元以下的罚款。</w:t>
            </w:r>
          </w:p>
        </w:tc>
        <w:tc>
          <w:tcPr>
            <w:tcW w:w="938" w:type="dxa"/>
            <w:tcBorders>
              <w:tl2br w:val="nil"/>
              <w:tr2bl w:val="nil"/>
            </w:tcBorders>
            <w:noWrap w:val="0"/>
            <w:vAlign w:val="center"/>
          </w:tcPr>
          <w:p w14:paraId="6314993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经济检查股、执法大队、市监所</w:t>
            </w:r>
          </w:p>
        </w:tc>
        <w:tc>
          <w:tcPr>
            <w:tcW w:w="825" w:type="dxa"/>
            <w:tcBorders>
              <w:tl2br w:val="nil"/>
              <w:tr2bl w:val="nil"/>
            </w:tcBorders>
            <w:noWrap w:val="0"/>
            <w:vAlign w:val="center"/>
          </w:tcPr>
          <w:p w14:paraId="78C98F8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21B245B8">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是否编造、传播虛假信息或者事实虽然真实，但仅陈述部分事实，容易引发错误联想的误导性信息，对竞争对手的商业信誉、商品声誉进行恶意的诋毁、贬低，以破坏竞争对手的交易机会和竞争优势，并为自己谋取不正当利益。</w:t>
            </w:r>
          </w:p>
        </w:tc>
        <w:tc>
          <w:tcPr>
            <w:tcW w:w="963" w:type="dxa"/>
            <w:tcBorders>
              <w:tl2br w:val="nil"/>
              <w:tr2bl w:val="nil"/>
            </w:tcBorders>
            <w:noWrap w:val="0"/>
            <w:vAlign w:val="center"/>
          </w:tcPr>
          <w:p w14:paraId="1E5B90F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36F6A3F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46241AC3">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6D833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15334C37">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15</w:t>
            </w:r>
          </w:p>
        </w:tc>
        <w:tc>
          <w:tcPr>
            <w:tcW w:w="938" w:type="dxa"/>
            <w:tcBorders>
              <w:tl2br w:val="nil"/>
              <w:tr2bl w:val="nil"/>
            </w:tcBorders>
            <w:noWrap w:val="0"/>
            <w:vAlign w:val="center"/>
          </w:tcPr>
          <w:p w14:paraId="7AD0569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经营者不得利用技术手段，通过影响用户选择或者其他方式，实施妨碍、破坏其他经营者合法提供的网络产品或者服务正常运行的行为。</w:t>
            </w:r>
          </w:p>
        </w:tc>
        <w:tc>
          <w:tcPr>
            <w:tcW w:w="1200" w:type="dxa"/>
            <w:tcBorders>
              <w:tl2br w:val="nil"/>
              <w:tr2bl w:val="nil"/>
            </w:tcBorders>
            <w:noWrap w:val="0"/>
            <w:vAlign w:val="center"/>
          </w:tcPr>
          <w:p w14:paraId="2FF8240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1685607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4E3BD22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016DC3C7">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《中华人民共和国反不正当竞争法》</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938" w:type="dxa"/>
            <w:tcBorders>
              <w:tl2br w:val="nil"/>
              <w:tr2bl w:val="nil"/>
            </w:tcBorders>
            <w:noWrap w:val="0"/>
            <w:vAlign w:val="center"/>
          </w:tcPr>
          <w:p w14:paraId="45D60E9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经济检查股、执法大队、市监所</w:t>
            </w:r>
          </w:p>
        </w:tc>
        <w:tc>
          <w:tcPr>
            <w:tcW w:w="825" w:type="dxa"/>
            <w:tcBorders>
              <w:tl2br w:val="nil"/>
              <w:tr2bl w:val="nil"/>
            </w:tcBorders>
            <w:noWrap w:val="0"/>
            <w:vAlign w:val="center"/>
          </w:tcPr>
          <w:p w14:paraId="4F5BBB0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w:t>
            </w:r>
          </w:p>
        </w:tc>
        <w:tc>
          <w:tcPr>
            <w:tcW w:w="3737" w:type="dxa"/>
            <w:tcBorders>
              <w:tl2br w:val="nil"/>
              <w:tr2bl w:val="nil"/>
            </w:tcBorders>
            <w:noWrap w:val="0"/>
            <w:vAlign w:val="center"/>
          </w:tcPr>
          <w:p w14:paraId="39B7A454">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经营者是否利用技术手段，通过影响用户选择或者其他方式，实施下列妨碍、破坏其他经营者合法提供的网络产品或者服务正常运行的行为：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（一)未经其他经营者同意，在其合法提供的网络产品或者服务中，插入链接、强制进行目标跳转；</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（二）误导、欺骗、强迫用户修改、关闭、卸载其他经营者合法提供的网络产品或者服务；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（三)恶意对其他经营者合法提供的网络产品或者服务实施不兼容；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（四）其他妨碍、破坏其他经营者合法提供的网络应品或者服务正常运行的行为。</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p>
        </w:tc>
        <w:tc>
          <w:tcPr>
            <w:tcW w:w="963" w:type="dxa"/>
            <w:tcBorders>
              <w:tl2br w:val="nil"/>
              <w:tr2bl w:val="nil"/>
            </w:tcBorders>
            <w:noWrap w:val="0"/>
            <w:vAlign w:val="center"/>
          </w:tcPr>
          <w:p w14:paraId="006BDBA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53D5499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05CCCC4A">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37422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2D93F2F2">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16</w:t>
            </w:r>
          </w:p>
        </w:tc>
        <w:tc>
          <w:tcPr>
            <w:tcW w:w="938" w:type="dxa"/>
            <w:tcBorders>
              <w:tl2br w:val="nil"/>
              <w:tr2bl w:val="nil"/>
            </w:tcBorders>
            <w:noWrap w:val="0"/>
            <w:vAlign w:val="center"/>
          </w:tcPr>
          <w:p w14:paraId="15778AAF">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lang w:eastAsia="zh-CN"/>
              </w:rPr>
              <w:t>对涉嫌传销行为的检查</w:t>
            </w:r>
          </w:p>
        </w:tc>
        <w:tc>
          <w:tcPr>
            <w:tcW w:w="1200" w:type="dxa"/>
            <w:tcBorders>
              <w:tl2br w:val="nil"/>
              <w:tr2bl w:val="nil"/>
            </w:tcBorders>
            <w:noWrap w:val="0"/>
            <w:vAlign w:val="center"/>
          </w:tcPr>
          <w:p w14:paraId="31DC0B1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市场监管</w:t>
            </w:r>
          </w:p>
          <w:p w14:paraId="26E64F8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部门</w:t>
            </w:r>
          </w:p>
          <w:p w14:paraId="5D463B3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w:t>
            </w:r>
          </w:p>
        </w:tc>
        <w:tc>
          <w:tcPr>
            <w:tcW w:w="3537" w:type="dxa"/>
            <w:tcBorders>
              <w:tl2br w:val="nil"/>
              <w:tr2bl w:val="nil"/>
            </w:tcBorders>
            <w:noWrap w:val="0"/>
            <w:vAlign w:val="center"/>
          </w:tcPr>
          <w:p w14:paraId="0673E970">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《禁止传销条例》第十四条 县级以上工商行政管理部门对涉嫌传销行为进行查处时，可以采取下列措施:</w:t>
            </w:r>
          </w:p>
          <w:p w14:paraId="44B23CAE">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(一)责令停止相关活动;</w:t>
            </w:r>
          </w:p>
          <w:p w14:paraId="2943871F">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(二)向涉嫌传销的组织者、经营者和个人调查、了解有关情况;</w:t>
            </w:r>
          </w:p>
          <w:p w14:paraId="49656FD6">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(三)进入涉嫌传销的经营场所和培训、集会等活动场所，实施现场检查;</w:t>
            </w:r>
          </w:p>
          <w:p w14:paraId="51339EB8">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(四)查阅、复制、查封、扣押涉嫌传销的有关合同、票据、账簿等资料;</w:t>
            </w:r>
          </w:p>
          <w:p w14:paraId="2AB33499">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(五)查封、扣押涉嫌专门用于传销的产品(商品)、工具、设备、原材料等财物;</w:t>
            </w:r>
          </w:p>
          <w:p w14:paraId="79C21CE3">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(六)查封涉嫌传销的经营场所;</w:t>
            </w:r>
          </w:p>
          <w:p w14:paraId="75B9D51D">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(七)查询涉嫌传销的组织者或者经营者的账户及与存款有关的会计凭证、账簿、对账单等;</w:t>
            </w:r>
          </w:p>
          <w:p w14:paraId="6FF6ABF9">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(八)对有证据证明转移或者隐匿违法资金的，可以申请司法机关予以冻结。</w:t>
            </w:r>
          </w:p>
          <w:p w14:paraId="2761D18F">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tc>
        <w:tc>
          <w:tcPr>
            <w:tcW w:w="938" w:type="dxa"/>
            <w:tcBorders>
              <w:tl2br w:val="nil"/>
              <w:tr2bl w:val="nil"/>
            </w:tcBorders>
            <w:noWrap w:val="0"/>
            <w:vAlign w:val="center"/>
          </w:tcPr>
          <w:p w14:paraId="2F7DE087">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经济检查股、市监所</w:t>
            </w:r>
          </w:p>
        </w:tc>
        <w:tc>
          <w:tcPr>
            <w:tcW w:w="825" w:type="dxa"/>
            <w:tcBorders>
              <w:tl2br w:val="nil"/>
              <w:tr2bl w:val="nil"/>
            </w:tcBorders>
            <w:noWrap w:val="0"/>
            <w:vAlign w:val="center"/>
          </w:tcPr>
          <w:p w14:paraId="624D9E79">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lang w:eastAsia="zh-CN"/>
              </w:rPr>
              <w:t>经营者</w:t>
            </w:r>
          </w:p>
        </w:tc>
        <w:tc>
          <w:tcPr>
            <w:tcW w:w="3737" w:type="dxa"/>
            <w:tcBorders>
              <w:tl2br w:val="nil"/>
              <w:tr2bl w:val="nil"/>
            </w:tcBorders>
            <w:noWrap w:val="0"/>
            <w:vAlign w:val="center"/>
          </w:tcPr>
          <w:p w14:paraId="0722A6D4">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lang w:eastAsia="zh-CN"/>
              </w:rPr>
              <w:t>检查经营者是否从事传销活动</w:t>
            </w:r>
          </w:p>
        </w:tc>
        <w:tc>
          <w:tcPr>
            <w:tcW w:w="963" w:type="dxa"/>
            <w:tcBorders>
              <w:tl2br w:val="nil"/>
              <w:tr2bl w:val="nil"/>
            </w:tcBorders>
            <w:noWrap w:val="0"/>
            <w:vAlign w:val="center"/>
          </w:tcPr>
          <w:p w14:paraId="5A2EAE92">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lang w:eastAsia="zh-CN"/>
              </w:rPr>
              <w:t>现场检查、非现场检查相结合</w:t>
            </w:r>
          </w:p>
        </w:tc>
        <w:tc>
          <w:tcPr>
            <w:tcW w:w="1175" w:type="dxa"/>
            <w:tcBorders>
              <w:tl2br w:val="nil"/>
              <w:tr2bl w:val="nil"/>
            </w:tcBorders>
            <w:noWrap w:val="0"/>
            <w:vAlign w:val="center"/>
          </w:tcPr>
          <w:p w14:paraId="50CF59A8">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highlight w:val="none"/>
              </w:rPr>
              <w:t>按本单位每年3月底前报经同级司法行政部门备案审查的涉企年度行政检查计划执行</w:t>
            </w:r>
          </w:p>
        </w:tc>
        <w:tc>
          <w:tcPr>
            <w:tcW w:w="1994" w:type="dxa"/>
            <w:tcBorders>
              <w:tl2br w:val="nil"/>
              <w:tr2bl w:val="nil"/>
            </w:tcBorders>
            <w:noWrap w:val="0"/>
            <w:vAlign w:val="center"/>
          </w:tcPr>
          <w:p w14:paraId="3FB93729">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专项检查与重点检查相结合</w:t>
            </w:r>
          </w:p>
        </w:tc>
      </w:tr>
      <w:tr w14:paraId="764C3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019E61A8">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17</w:t>
            </w:r>
          </w:p>
        </w:tc>
        <w:tc>
          <w:tcPr>
            <w:tcW w:w="938" w:type="dxa"/>
            <w:tcBorders>
              <w:tl2br w:val="nil"/>
              <w:tr2bl w:val="nil"/>
            </w:tcBorders>
            <w:noWrap w:val="0"/>
            <w:vAlign w:val="center"/>
          </w:tcPr>
          <w:p w14:paraId="5878707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对直销企业的行政检查</w:t>
            </w:r>
          </w:p>
        </w:tc>
        <w:tc>
          <w:tcPr>
            <w:tcW w:w="1200" w:type="dxa"/>
            <w:tcBorders>
              <w:tl2br w:val="nil"/>
              <w:tr2bl w:val="nil"/>
            </w:tcBorders>
            <w:noWrap w:val="0"/>
            <w:vAlign w:val="center"/>
          </w:tcPr>
          <w:p w14:paraId="497F9E6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市场监管</w:t>
            </w:r>
          </w:p>
          <w:p w14:paraId="4A17C0F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部门</w:t>
            </w:r>
          </w:p>
          <w:p w14:paraId="01D636D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w:t>
            </w:r>
          </w:p>
        </w:tc>
        <w:tc>
          <w:tcPr>
            <w:tcW w:w="3537" w:type="dxa"/>
            <w:tcBorders>
              <w:tl2br w:val="nil"/>
              <w:tr2bl w:val="nil"/>
            </w:tcBorders>
            <w:noWrap w:val="0"/>
            <w:vAlign w:val="center"/>
          </w:tcPr>
          <w:p w14:paraId="7E82CE64">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《直销管理条例》</w:t>
            </w:r>
          </w:p>
          <w:p w14:paraId="3ACB6C1D">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第6条：国务院商务主管部门和工商行政管理部门依照其职责分工和本条例规定，负责对直销企业和直销员及其直销活动实施监督管理。</w:t>
            </w:r>
          </w:p>
          <w:p w14:paraId="5E192562">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第35条：工商行政管理部门负责对直销企业和直销员及其直销活动实施日常的监督管理。工商行政管理部门可以采取下列措施进行现场检查：</w:t>
            </w:r>
          </w:p>
          <w:p w14:paraId="13CAFEDA">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（一）进入相关企业进行检查；</w:t>
            </w:r>
          </w:p>
          <w:p w14:paraId="57DA684E">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（二）要求相关企业提供有关文件、资料和证明材料；</w:t>
            </w:r>
          </w:p>
          <w:p w14:paraId="2DA7635C">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（三）询问当事人、利害关系人和其他有关人员，并要求其提供有关材料；</w:t>
            </w:r>
          </w:p>
          <w:p w14:paraId="2A240F61">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（四）查阅、复制、查封、扣押相关企业与直销活动有关的材料和非法财物；</w:t>
            </w:r>
          </w:p>
          <w:p w14:paraId="09E1D9B6">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（五）检查有关人员的直销培训员证、直销员证等证件。</w:t>
            </w:r>
          </w:p>
        </w:tc>
        <w:tc>
          <w:tcPr>
            <w:tcW w:w="938" w:type="dxa"/>
            <w:tcBorders>
              <w:tl2br w:val="nil"/>
              <w:tr2bl w:val="nil"/>
            </w:tcBorders>
            <w:noWrap w:val="0"/>
            <w:vAlign w:val="center"/>
          </w:tcPr>
          <w:p w14:paraId="0E1B56F8">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经济检查股、市监所</w:t>
            </w:r>
          </w:p>
        </w:tc>
        <w:tc>
          <w:tcPr>
            <w:tcW w:w="825" w:type="dxa"/>
            <w:tcBorders>
              <w:tl2br w:val="nil"/>
              <w:tr2bl w:val="nil"/>
            </w:tcBorders>
            <w:noWrap w:val="0"/>
            <w:vAlign w:val="center"/>
          </w:tcPr>
          <w:p w14:paraId="6B2D23CF">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直销</w:t>
            </w:r>
          </w:p>
          <w:p w14:paraId="357CDE10">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lang w:eastAsia="zh-CN"/>
              </w:rPr>
              <w:t>企业</w:t>
            </w:r>
          </w:p>
        </w:tc>
        <w:tc>
          <w:tcPr>
            <w:tcW w:w="3737" w:type="dxa"/>
            <w:tcBorders>
              <w:tl2br w:val="nil"/>
              <w:tr2bl w:val="nil"/>
            </w:tcBorders>
            <w:noWrap w:val="0"/>
            <w:vAlign w:val="center"/>
          </w:tcPr>
          <w:p w14:paraId="1411D1CC">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rPr>
              <w:t>登记事项、公示信息、、重大事项变更、直销员报酬支付、信息报备和披露情况等。</w:t>
            </w:r>
          </w:p>
        </w:tc>
        <w:tc>
          <w:tcPr>
            <w:tcW w:w="963" w:type="dxa"/>
            <w:tcBorders>
              <w:tl2br w:val="nil"/>
              <w:tr2bl w:val="nil"/>
            </w:tcBorders>
            <w:noWrap w:val="0"/>
            <w:vAlign w:val="center"/>
          </w:tcPr>
          <w:p w14:paraId="699B8952">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lang w:eastAsia="zh-CN"/>
              </w:rPr>
              <w:t>现场检查、非现场检查相结合</w:t>
            </w:r>
          </w:p>
        </w:tc>
        <w:tc>
          <w:tcPr>
            <w:tcW w:w="1175" w:type="dxa"/>
            <w:tcBorders>
              <w:tl2br w:val="nil"/>
              <w:tr2bl w:val="nil"/>
            </w:tcBorders>
            <w:noWrap w:val="0"/>
            <w:vAlign w:val="center"/>
          </w:tcPr>
          <w:p w14:paraId="585D4F95">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highlight w:val="none"/>
              </w:rPr>
              <w:t>按本单位每年3月底前报经同级司法行政部门备案审查的涉企年度行政检查计划执行</w:t>
            </w:r>
          </w:p>
        </w:tc>
        <w:tc>
          <w:tcPr>
            <w:tcW w:w="1994" w:type="dxa"/>
            <w:tcBorders>
              <w:tl2br w:val="nil"/>
              <w:tr2bl w:val="nil"/>
            </w:tcBorders>
            <w:noWrap w:val="0"/>
            <w:vAlign w:val="center"/>
          </w:tcPr>
          <w:p w14:paraId="3CB35DD0">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78DD0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0CBB2EB5">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18</w:t>
            </w:r>
          </w:p>
        </w:tc>
        <w:tc>
          <w:tcPr>
            <w:tcW w:w="938" w:type="dxa"/>
            <w:tcBorders>
              <w:tl2br w:val="nil"/>
              <w:tr2bl w:val="nil"/>
            </w:tcBorders>
            <w:noWrap w:val="0"/>
            <w:vAlign w:val="center"/>
          </w:tcPr>
          <w:p w14:paraId="60CC15FA">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iCs w:val="0"/>
                <w:color w:val="auto"/>
                <w:spacing w:val="0"/>
                <w:kern w:val="0"/>
                <w:sz w:val="21"/>
                <w:szCs w:val="21"/>
                <w:u w:val="none"/>
                <w:lang w:val="en-US" w:eastAsia="zh-CN"/>
              </w:rPr>
            </w:pPr>
            <w:r>
              <w:rPr>
                <w:rFonts w:hint="eastAsia" w:asciiTheme="minorEastAsia" w:hAnsiTheme="minorEastAsia" w:eastAsiaTheme="minorEastAsia" w:cstheme="minorEastAsia"/>
                <w:i w:val="0"/>
                <w:iCs w:val="0"/>
                <w:color w:val="auto"/>
                <w:spacing w:val="0"/>
                <w:kern w:val="0"/>
                <w:sz w:val="21"/>
                <w:szCs w:val="21"/>
                <w:u w:val="none"/>
                <w:lang w:val="en-US" w:eastAsia="zh-CN"/>
              </w:rPr>
              <w:t>卷烟零售经营资质、经营活动</w:t>
            </w:r>
          </w:p>
        </w:tc>
        <w:tc>
          <w:tcPr>
            <w:tcW w:w="1200" w:type="dxa"/>
            <w:tcBorders>
              <w:tl2br w:val="nil"/>
              <w:tr2bl w:val="nil"/>
            </w:tcBorders>
            <w:noWrap w:val="0"/>
            <w:vAlign w:val="center"/>
          </w:tcPr>
          <w:p w14:paraId="1A03C9F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市场监管</w:t>
            </w:r>
          </w:p>
          <w:p w14:paraId="34360FD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部门</w:t>
            </w:r>
          </w:p>
          <w:p w14:paraId="2376001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w:t>
            </w:r>
          </w:p>
        </w:tc>
        <w:tc>
          <w:tcPr>
            <w:tcW w:w="3537" w:type="dxa"/>
            <w:tcBorders>
              <w:tl2br w:val="nil"/>
              <w:tr2bl w:val="nil"/>
            </w:tcBorders>
            <w:noWrap w:val="0"/>
            <w:vAlign w:val="center"/>
          </w:tcPr>
          <w:p w14:paraId="232F5692">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iCs w:val="0"/>
                <w:color w:val="auto"/>
                <w:spacing w:val="0"/>
                <w:kern w:val="0"/>
                <w:sz w:val="21"/>
                <w:szCs w:val="21"/>
                <w:u w:val="none"/>
                <w:lang w:val="en-US" w:eastAsia="zh-CN" w:bidi="ar"/>
              </w:rPr>
              <w:t>《中华人民共和国烟草专卖法》第32条、《中华人民共和国商标法》第42条、《中华人民共和国广告法》第22条</w:t>
            </w:r>
          </w:p>
        </w:tc>
        <w:tc>
          <w:tcPr>
            <w:tcW w:w="938" w:type="dxa"/>
            <w:tcBorders>
              <w:tl2br w:val="nil"/>
              <w:tr2bl w:val="nil"/>
            </w:tcBorders>
            <w:noWrap w:val="0"/>
            <w:vAlign w:val="center"/>
          </w:tcPr>
          <w:p w14:paraId="6E10F7C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经济检查股、</w:t>
            </w:r>
            <w:r>
              <w:rPr>
                <w:rFonts w:hint="eastAsia" w:asciiTheme="minorEastAsia" w:hAnsiTheme="minorEastAsia" w:eastAsiaTheme="minorEastAsia" w:cstheme="minorEastAsia"/>
                <w:color w:val="auto"/>
                <w:spacing w:val="0"/>
                <w:sz w:val="21"/>
                <w:szCs w:val="21"/>
                <w:highlight w:val="none"/>
                <w:lang w:eastAsia="zh-CN"/>
              </w:rPr>
              <w:t>执法大队、市监所</w:t>
            </w:r>
          </w:p>
        </w:tc>
        <w:tc>
          <w:tcPr>
            <w:tcW w:w="825" w:type="dxa"/>
            <w:tcBorders>
              <w:tl2br w:val="nil"/>
              <w:tr2bl w:val="nil"/>
            </w:tcBorders>
            <w:noWrap w:val="0"/>
            <w:vAlign w:val="center"/>
          </w:tcPr>
          <w:p w14:paraId="78F986B8">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iCs w:val="0"/>
                <w:color w:val="auto"/>
                <w:spacing w:val="0"/>
                <w:kern w:val="0"/>
                <w:sz w:val="21"/>
                <w:szCs w:val="21"/>
                <w:u w:val="none"/>
                <w:lang w:val="en-US" w:eastAsia="zh-CN"/>
              </w:rPr>
              <w:t>卷烟零售经营主体</w:t>
            </w:r>
          </w:p>
        </w:tc>
        <w:tc>
          <w:tcPr>
            <w:tcW w:w="3737" w:type="dxa"/>
            <w:tcBorders>
              <w:tl2br w:val="nil"/>
              <w:tr2bl w:val="nil"/>
            </w:tcBorders>
            <w:noWrap w:val="0"/>
            <w:vAlign w:val="center"/>
          </w:tcPr>
          <w:p w14:paraId="3F439E7B">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检查经营者是否取得烟草专卖许可证、卷烟商标侵权、卷烟广告违法行为</w:t>
            </w:r>
          </w:p>
        </w:tc>
        <w:tc>
          <w:tcPr>
            <w:tcW w:w="963" w:type="dxa"/>
            <w:tcBorders>
              <w:tl2br w:val="nil"/>
              <w:tr2bl w:val="nil"/>
            </w:tcBorders>
            <w:noWrap w:val="0"/>
            <w:vAlign w:val="center"/>
          </w:tcPr>
          <w:p w14:paraId="28D68A7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现场检查、非现场检查相结合</w:t>
            </w:r>
          </w:p>
        </w:tc>
        <w:tc>
          <w:tcPr>
            <w:tcW w:w="1175" w:type="dxa"/>
            <w:tcBorders>
              <w:tl2br w:val="nil"/>
              <w:tr2bl w:val="nil"/>
            </w:tcBorders>
            <w:noWrap w:val="0"/>
            <w:vAlign w:val="center"/>
          </w:tcPr>
          <w:p w14:paraId="789FEE2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1731ED08">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依据双随机一公开联合检查</w:t>
            </w:r>
          </w:p>
        </w:tc>
      </w:tr>
      <w:tr w14:paraId="112EB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5A08104A">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19</w:t>
            </w:r>
          </w:p>
        </w:tc>
        <w:tc>
          <w:tcPr>
            <w:tcW w:w="938" w:type="dxa"/>
            <w:tcBorders>
              <w:tl2br w:val="nil"/>
              <w:tr2bl w:val="nil"/>
            </w:tcBorders>
            <w:noWrap w:val="0"/>
            <w:vAlign w:val="center"/>
          </w:tcPr>
          <w:p w14:paraId="4687892C">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b w:val="0"/>
                <w:bCs w:val="0"/>
                <w:color w:val="auto"/>
                <w:spacing w:val="0"/>
                <w:sz w:val="21"/>
                <w:szCs w:val="21"/>
                <w:vertAlign w:val="baseline"/>
                <w:lang w:val="en-US" w:eastAsia="zh-CN"/>
              </w:rPr>
              <w:t>对电子商务平台经营者的行政检查</w:t>
            </w:r>
          </w:p>
        </w:tc>
        <w:tc>
          <w:tcPr>
            <w:tcW w:w="1200" w:type="dxa"/>
            <w:tcBorders>
              <w:tl2br w:val="nil"/>
              <w:tr2bl w:val="nil"/>
            </w:tcBorders>
            <w:noWrap w:val="0"/>
            <w:vAlign w:val="center"/>
          </w:tcPr>
          <w:p w14:paraId="3C315E8C">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b w:val="0"/>
                <w:bCs w:val="0"/>
                <w:color w:val="auto"/>
                <w:spacing w:val="0"/>
                <w:sz w:val="21"/>
                <w:szCs w:val="21"/>
                <w:vertAlign w:val="baseline"/>
                <w:lang w:val="en-US" w:eastAsia="zh-CN"/>
              </w:rPr>
              <w:t>县级以上市场监管部门</w:t>
            </w:r>
          </w:p>
        </w:tc>
        <w:tc>
          <w:tcPr>
            <w:tcW w:w="3537" w:type="dxa"/>
            <w:tcBorders>
              <w:tl2br w:val="nil"/>
              <w:tr2bl w:val="nil"/>
            </w:tcBorders>
            <w:noWrap w:val="0"/>
            <w:vAlign w:val="center"/>
          </w:tcPr>
          <w:p w14:paraId="678E2D95">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b w:val="0"/>
                <w:bCs w:val="0"/>
                <w:color w:val="auto"/>
                <w:spacing w:val="0"/>
                <w:sz w:val="21"/>
                <w:szCs w:val="21"/>
                <w:vertAlign w:val="baseline"/>
                <w:lang w:val="en-US" w:eastAsia="zh-CN"/>
              </w:rPr>
              <w:t>《电子商务法》第二十七条、第三十一条、第三十二条、第三十三条、第三十四条、第三十六条、第三十七条、第三十九条、第四十条</w:t>
            </w:r>
          </w:p>
        </w:tc>
        <w:tc>
          <w:tcPr>
            <w:tcW w:w="938" w:type="dxa"/>
            <w:tcBorders>
              <w:tl2br w:val="nil"/>
              <w:tr2bl w:val="nil"/>
            </w:tcBorders>
            <w:noWrap w:val="0"/>
            <w:vAlign w:val="center"/>
          </w:tcPr>
          <w:p w14:paraId="1E2CD694">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网络监管股、广告监管股、执法大队、市监所</w:t>
            </w:r>
          </w:p>
        </w:tc>
        <w:tc>
          <w:tcPr>
            <w:tcW w:w="825" w:type="dxa"/>
            <w:tcBorders>
              <w:tl2br w:val="nil"/>
              <w:tr2bl w:val="nil"/>
            </w:tcBorders>
            <w:noWrap w:val="0"/>
            <w:vAlign w:val="center"/>
          </w:tcPr>
          <w:p w14:paraId="7E647BBC">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b w:val="0"/>
                <w:bCs w:val="0"/>
                <w:color w:val="auto"/>
                <w:spacing w:val="0"/>
                <w:sz w:val="21"/>
                <w:szCs w:val="21"/>
                <w:vertAlign w:val="baseline"/>
                <w:lang w:val="en-US" w:eastAsia="zh-CN"/>
              </w:rPr>
              <w:t>电子商务平台经营者</w:t>
            </w:r>
          </w:p>
        </w:tc>
        <w:tc>
          <w:tcPr>
            <w:tcW w:w="3737" w:type="dxa"/>
            <w:tcBorders>
              <w:tl2br w:val="nil"/>
              <w:tr2bl w:val="nil"/>
            </w:tcBorders>
            <w:noWrap w:val="0"/>
            <w:vAlign w:val="center"/>
          </w:tcPr>
          <w:p w14:paraId="2DB7B6A5">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b w:val="0"/>
                <w:bCs w:val="0"/>
                <w:color w:val="auto"/>
                <w:spacing w:val="0"/>
                <w:sz w:val="21"/>
                <w:szCs w:val="21"/>
                <w:vertAlign w:val="baseline"/>
                <w:lang w:val="en-US" w:eastAsia="zh-CN"/>
              </w:rPr>
              <w:t>电子商务平台经营者履行主体责任监督检查</w:t>
            </w:r>
          </w:p>
        </w:tc>
        <w:tc>
          <w:tcPr>
            <w:tcW w:w="963" w:type="dxa"/>
            <w:tcBorders>
              <w:tl2br w:val="nil"/>
              <w:tr2bl w:val="nil"/>
            </w:tcBorders>
            <w:noWrap w:val="0"/>
            <w:vAlign w:val="center"/>
          </w:tcPr>
          <w:p w14:paraId="073DEEC8">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b w:val="0"/>
                <w:bCs w:val="0"/>
                <w:color w:val="auto"/>
                <w:spacing w:val="0"/>
                <w:sz w:val="21"/>
                <w:szCs w:val="21"/>
                <w:vertAlign w:val="baseline"/>
                <w:lang w:val="en-US" w:eastAsia="zh-CN"/>
              </w:rPr>
              <w:t>现场检查、非现场检查相结合</w:t>
            </w:r>
          </w:p>
        </w:tc>
        <w:tc>
          <w:tcPr>
            <w:tcW w:w="1175" w:type="dxa"/>
            <w:tcBorders>
              <w:tl2br w:val="nil"/>
              <w:tr2bl w:val="nil"/>
            </w:tcBorders>
            <w:noWrap w:val="0"/>
            <w:vAlign w:val="center"/>
          </w:tcPr>
          <w:p w14:paraId="4CA417AE">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b w:val="0"/>
                <w:bCs w:val="0"/>
                <w:color w:val="auto"/>
                <w:spacing w:val="0"/>
                <w:sz w:val="21"/>
                <w:szCs w:val="21"/>
                <w:vertAlign w:val="baseline"/>
                <w:lang w:val="en-US" w:eastAsia="zh-CN"/>
              </w:rPr>
              <w:t>按本单位每年3月底前报经同级司法行政部门备案审查的涉企年度行政检查计划执行</w:t>
            </w:r>
          </w:p>
        </w:tc>
        <w:tc>
          <w:tcPr>
            <w:tcW w:w="1994" w:type="dxa"/>
            <w:tcBorders>
              <w:tl2br w:val="nil"/>
              <w:tr2bl w:val="nil"/>
            </w:tcBorders>
            <w:noWrap w:val="0"/>
            <w:vAlign w:val="center"/>
          </w:tcPr>
          <w:p w14:paraId="2282A2A1">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76E07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05A97D41">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b w:val="0"/>
                <w:bCs w:val="0"/>
                <w:color w:val="auto"/>
                <w:spacing w:val="0"/>
                <w:sz w:val="21"/>
                <w:szCs w:val="21"/>
                <w:vertAlign w:val="baseline"/>
                <w:lang w:val="en-US" w:eastAsia="zh-CN"/>
              </w:rPr>
              <w:t>20</w:t>
            </w:r>
          </w:p>
        </w:tc>
        <w:tc>
          <w:tcPr>
            <w:tcW w:w="938" w:type="dxa"/>
            <w:tcBorders>
              <w:tl2br w:val="nil"/>
              <w:tr2bl w:val="nil"/>
            </w:tcBorders>
            <w:noWrap w:val="0"/>
            <w:vAlign w:val="center"/>
          </w:tcPr>
          <w:p w14:paraId="2F0B94F2">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highlight w:val="none"/>
                <w:lang w:eastAsia="zh-CN"/>
              </w:rPr>
              <w:t>对</w:t>
            </w:r>
            <w:r>
              <w:rPr>
                <w:rFonts w:hint="eastAsia" w:asciiTheme="minorEastAsia" w:hAnsiTheme="minorEastAsia" w:eastAsiaTheme="minorEastAsia" w:cstheme="minorEastAsia"/>
                <w:color w:val="auto"/>
                <w:spacing w:val="0"/>
                <w:sz w:val="21"/>
                <w:szCs w:val="21"/>
                <w:highlight w:val="none"/>
              </w:rPr>
              <w:t>广播、电视、报刊、期刊等媒体的广告行为</w:t>
            </w:r>
            <w:r>
              <w:rPr>
                <w:rFonts w:hint="eastAsia" w:asciiTheme="minorEastAsia" w:hAnsiTheme="minorEastAsia" w:eastAsiaTheme="minorEastAsia" w:cstheme="minorEastAsia"/>
                <w:color w:val="auto"/>
                <w:spacing w:val="0"/>
                <w:sz w:val="21"/>
                <w:szCs w:val="21"/>
                <w:highlight w:val="none"/>
                <w:lang w:eastAsia="zh-CN"/>
              </w:rPr>
              <w:t>检查</w:t>
            </w:r>
          </w:p>
        </w:tc>
        <w:tc>
          <w:tcPr>
            <w:tcW w:w="1200" w:type="dxa"/>
            <w:tcBorders>
              <w:tl2br w:val="nil"/>
              <w:tr2bl w:val="nil"/>
            </w:tcBorders>
            <w:noWrap w:val="0"/>
            <w:vAlign w:val="center"/>
          </w:tcPr>
          <w:p w14:paraId="3A65618A">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市场监管</w:t>
            </w:r>
          </w:p>
          <w:p w14:paraId="76D8439C">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部门</w:t>
            </w:r>
          </w:p>
          <w:p w14:paraId="69433EDB">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rPr>
              <w:t>（县级以上）</w:t>
            </w:r>
          </w:p>
        </w:tc>
        <w:tc>
          <w:tcPr>
            <w:tcW w:w="3537" w:type="dxa"/>
            <w:tcBorders>
              <w:tl2br w:val="nil"/>
              <w:tr2bl w:val="nil"/>
            </w:tcBorders>
            <w:noWrap w:val="0"/>
            <w:vAlign w:val="center"/>
          </w:tcPr>
          <w:p w14:paraId="72F37C6E">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highlight w:val="none"/>
              </w:rPr>
              <w:t>《广告法》第</w:t>
            </w:r>
            <w:r>
              <w:rPr>
                <w:rFonts w:hint="eastAsia" w:asciiTheme="minorEastAsia" w:hAnsiTheme="minorEastAsia" w:eastAsiaTheme="minorEastAsia" w:cstheme="minorEastAsia"/>
                <w:color w:val="auto"/>
                <w:spacing w:val="0"/>
                <w:sz w:val="21"/>
                <w:szCs w:val="21"/>
                <w:highlight w:val="none"/>
                <w:lang w:eastAsia="zh-CN"/>
              </w:rPr>
              <w:t>五</w:t>
            </w:r>
            <w:r>
              <w:rPr>
                <w:rFonts w:hint="eastAsia" w:asciiTheme="minorEastAsia" w:hAnsiTheme="minorEastAsia" w:eastAsiaTheme="minorEastAsia" w:cstheme="minorEastAsia"/>
                <w:color w:val="auto"/>
                <w:spacing w:val="0"/>
                <w:sz w:val="21"/>
                <w:szCs w:val="21"/>
                <w:highlight w:val="none"/>
              </w:rPr>
              <w:t>条、第六条</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第二十九条、第</w:t>
            </w:r>
            <w:r>
              <w:rPr>
                <w:rFonts w:hint="eastAsia" w:asciiTheme="minorEastAsia" w:hAnsiTheme="minorEastAsia" w:eastAsiaTheme="minorEastAsia" w:cstheme="minorEastAsia"/>
                <w:color w:val="auto"/>
                <w:spacing w:val="0"/>
                <w:sz w:val="21"/>
                <w:szCs w:val="21"/>
                <w:highlight w:val="none"/>
                <w:lang w:eastAsia="zh-CN"/>
              </w:rPr>
              <w:t>三</w:t>
            </w:r>
            <w:r>
              <w:rPr>
                <w:rFonts w:hint="eastAsia" w:asciiTheme="minorEastAsia" w:hAnsiTheme="minorEastAsia" w:eastAsiaTheme="minorEastAsia" w:cstheme="minorEastAsia"/>
                <w:color w:val="auto"/>
                <w:spacing w:val="0"/>
                <w:sz w:val="21"/>
                <w:szCs w:val="21"/>
                <w:highlight w:val="none"/>
              </w:rPr>
              <w:t>十条</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第四十九条</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第</w:t>
            </w:r>
            <w:r>
              <w:rPr>
                <w:rFonts w:hint="eastAsia" w:asciiTheme="minorEastAsia" w:hAnsiTheme="minorEastAsia" w:eastAsiaTheme="minorEastAsia" w:cstheme="minorEastAsia"/>
                <w:color w:val="auto"/>
                <w:spacing w:val="0"/>
                <w:sz w:val="21"/>
                <w:szCs w:val="21"/>
                <w:highlight w:val="none"/>
                <w:lang w:eastAsia="zh-CN"/>
              </w:rPr>
              <w:t>五</w:t>
            </w:r>
            <w:r>
              <w:rPr>
                <w:rFonts w:hint="eastAsia" w:asciiTheme="minorEastAsia" w:hAnsiTheme="minorEastAsia" w:eastAsiaTheme="minorEastAsia" w:cstheme="minorEastAsia"/>
                <w:color w:val="auto"/>
                <w:spacing w:val="0"/>
                <w:sz w:val="21"/>
                <w:szCs w:val="21"/>
                <w:highlight w:val="none"/>
              </w:rPr>
              <w:t>十</w:t>
            </w:r>
            <w:r>
              <w:rPr>
                <w:rFonts w:hint="eastAsia" w:asciiTheme="minorEastAsia" w:hAnsiTheme="minorEastAsia" w:eastAsiaTheme="minorEastAsia" w:cstheme="minorEastAsia"/>
                <w:color w:val="auto"/>
                <w:spacing w:val="0"/>
                <w:sz w:val="21"/>
                <w:szCs w:val="21"/>
                <w:highlight w:val="none"/>
                <w:lang w:eastAsia="zh-CN"/>
              </w:rPr>
              <w:t>一</w:t>
            </w:r>
            <w:r>
              <w:rPr>
                <w:rFonts w:hint="eastAsia" w:asciiTheme="minorEastAsia" w:hAnsiTheme="minorEastAsia" w:eastAsiaTheme="minorEastAsia" w:cstheme="minorEastAsia"/>
                <w:color w:val="auto"/>
                <w:spacing w:val="0"/>
                <w:sz w:val="21"/>
                <w:szCs w:val="21"/>
                <w:highlight w:val="none"/>
              </w:rPr>
              <w:t>条</w:t>
            </w:r>
          </w:p>
        </w:tc>
        <w:tc>
          <w:tcPr>
            <w:tcW w:w="938" w:type="dxa"/>
            <w:tcBorders>
              <w:tl2br w:val="nil"/>
              <w:tr2bl w:val="nil"/>
            </w:tcBorders>
            <w:noWrap w:val="0"/>
            <w:vAlign w:val="center"/>
          </w:tcPr>
          <w:p w14:paraId="6F22CCF6">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color w:val="auto"/>
                <w:spacing w:val="0"/>
                <w:sz w:val="21"/>
                <w:szCs w:val="21"/>
                <w:highlight w:val="none"/>
                <w:vertAlign w:val="baseline"/>
                <w:lang w:val="en-US" w:eastAsia="zh-CN"/>
              </w:rPr>
            </w:pPr>
            <w:r>
              <w:rPr>
                <w:rFonts w:hint="eastAsia" w:asciiTheme="minorEastAsia" w:hAnsiTheme="minorEastAsia" w:eastAsiaTheme="minorEastAsia" w:cstheme="minorEastAsia"/>
                <w:color w:val="auto"/>
                <w:spacing w:val="0"/>
                <w:sz w:val="21"/>
                <w:szCs w:val="21"/>
                <w:highlight w:val="none"/>
                <w:lang w:eastAsia="zh-CN"/>
              </w:rPr>
              <w:t>广告监管股、执法大队、市监所</w:t>
            </w:r>
          </w:p>
        </w:tc>
        <w:tc>
          <w:tcPr>
            <w:tcW w:w="825" w:type="dxa"/>
            <w:tcBorders>
              <w:tl2br w:val="nil"/>
              <w:tr2bl w:val="nil"/>
            </w:tcBorders>
            <w:noWrap w:val="0"/>
            <w:vAlign w:val="center"/>
          </w:tcPr>
          <w:p w14:paraId="26D9F4A0">
            <w:pPr>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rPr>
              <w:t>企业、个体工商户及</w:t>
            </w:r>
            <w:r>
              <w:rPr>
                <w:rFonts w:hint="eastAsia" w:asciiTheme="minorEastAsia" w:hAnsiTheme="minorEastAsia" w:eastAsiaTheme="minorEastAsia" w:cstheme="minorEastAsia"/>
                <w:color w:val="auto"/>
                <w:spacing w:val="0"/>
                <w:sz w:val="21"/>
                <w:szCs w:val="21"/>
                <w:lang w:eastAsia="zh-CN"/>
              </w:rPr>
              <w:t>其他</w:t>
            </w:r>
            <w:r>
              <w:rPr>
                <w:rFonts w:hint="eastAsia" w:asciiTheme="minorEastAsia" w:hAnsiTheme="minorEastAsia" w:eastAsiaTheme="minorEastAsia" w:cstheme="minorEastAsia"/>
                <w:color w:val="auto"/>
                <w:spacing w:val="0"/>
                <w:sz w:val="21"/>
                <w:szCs w:val="21"/>
              </w:rPr>
              <w:t>经营单位</w:t>
            </w:r>
          </w:p>
        </w:tc>
        <w:tc>
          <w:tcPr>
            <w:tcW w:w="3737" w:type="dxa"/>
            <w:tcBorders>
              <w:tl2br w:val="nil"/>
              <w:tr2bl w:val="nil"/>
            </w:tcBorders>
            <w:noWrap w:val="0"/>
            <w:vAlign w:val="center"/>
          </w:tcPr>
          <w:p w14:paraId="00F7B743">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val="en-US" w:eastAsia="zh-CN"/>
              </w:rPr>
              <w:t>1.</w:t>
            </w:r>
            <w:r>
              <w:rPr>
                <w:rFonts w:hint="eastAsia" w:asciiTheme="minorEastAsia" w:hAnsiTheme="minorEastAsia" w:eastAsiaTheme="minorEastAsia" w:cstheme="minorEastAsia"/>
                <w:color w:val="auto"/>
                <w:spacing w:val="0"/>
                <w:sz w:val="21"/>
                <w:szCs w:val="21"/>
              </w:rPr>
              <w:t>检查广告</w:t>
            </w:r>
            <w:r>
              <w:rPr>
                <w:rFonts w:hint="eastAsia" w:asciiTheme="minorEastAsia" w:hAnsiTheme="minorEastAsia" w:eastAsiaTheme="minorEastAsia" w:cstheme="minorEastAsia"/>
                <w:color w:val="auto"/>
                <w:spacing w:val="0"/>
                <w:sz w:val="21"/>
                <w:szCs w:val="21"/>
                <w:lang w:eastAsia="zh-CN"/>
              </w:rPr>
              <w:t>媒体</w:t>
            </w:r>
            <w:r>
              <w:rPr>
                <w:rFonts w:hint="eastAsia" w:asciiTheme="minorEastAsia" w:hAnsiTheme="minorEastAsia" w:eastAsiaTheme="minorEastAsia" w:cstheme="minorEastAsia"/>
                <w:color w:val="auto"/>
                <w:spacing w:val="0"/>
                <w:sz w:val="21"/>
                <w:szCs w:val="21"/>
              </w:rPr>
              <w:t>单位是否违反《广告法》</w:t>
            </w:r>
            <w:r>
              <w:rPr>
                <w:rFonts w:hint="eastAsia" w:asciiTheme="minorEastAsia" w:hAnsiTheme="minorEastAsia" w:eastAsiaTheme="minorEastAsia" w:cstheme="minorEastAsia"/>
                <w:color w:val="auto"/>
                <w:spacing w:val="0"/>
                <w:sz w:val="21"/>
                <w:szCs w:val="21"/>
                <w:lang w:eastAsia="zh-CN"/>
              </w:rPr>
              <w:t>等法律法规</w:t>
            </w:r>
            <w:r>
              <w:rPr>
                <w:rFonts w:hint="eastAsia" w:asciiTheme="minorEastAsia" w:hAnsiTheme="minorEastAsia" w:eastAsiaTheme="minorEastAsia" w:cstheme="minorEastAsia"/>
                <w:color w:val="auto"/>
                <w:spacing w:val="0"/>
                <w:sz w:val="21"/>
                <w:szCs w:val="21"/>
              </w:rPr>
              <w:t>涉嫌发布虚假违法广告；</w:t>
            </w:r>
          </w:p>
          <w:p w14:paraId="3378704C">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lang w:val="en-US" w:eastAsia="zh-CN"/>
              </w:rPr>
              <w:t>2.</w:t>
            </w:r>
            <w:r>
              <w:rPr>
                <w:rFonts w:hint="eastAsia" w:asciiTheme="minorEastAsia" w:hAnsiTheme="minorEastAsia" w:eastAsiaTheme="minorEastAsia" w:cstheme="minorEastAsia"/>
                <w:color w:val="auto"/>
                <w:spacing w:val="0"/>
                <w:sz w:val="21"/>
                <w:szCs w:val="21"/>
              </w:rPr>
              <w:t>检查广告</w:t>
            </w:r>
            <w:r>
              <w:rPr>
                <w:rFonts w:hint="eastAsia" w:asciiTheme="minorEastAsia" w:hAnsiTheme="minorEastAsia" w:eastAsiaTheme="minorEastAsia" w:cstheme="minorEastAsia"/>
                <w:color w:val="auto"/>
                <w:spacing w:val="0"/>
                <w:sz w:val="21"/>
                <w:szCs w:val="21"/>
                <w:lang w:eastAsia="zh-CN"/>
              </w:rPr>
              <w:t>媒体</w:t>
            </w:r>
            <w:r>
              <w:rPr>
                <w:rFonts w:hint="eastAsia" w:asciiTheme="minorEastAsia" w:hAnsiTheme="minorEastAsia" w:eastAsiaTheme="minorEastAsia" w:cstheme="minorEastAsia"/>
                <w:color w:val="auto"/>
                <w:spacing w:val="0"/>
                <w:sz w:val="21"/>
                <w:szCs w:val="21"/>
              </w:rPr>
              <w:t>单位是否建立、健全广告业务的承接登记、审核、档案管理等制度。</w:t>
            </w:r>
          </w:p>
        </w:tc>
        <w:tc>
          <w:tcPr>
            <w:tcW w:w="963" w:type="dxa"/>
            <w:tcBorders>
              <w:tl2br w:val="nil"/>
              <w:tr2bl w:val="nil"/>
            </w:tcBorders>
            <w:noWrap w:val="0"/>
            <w:vAlign w:val="center"/>
          </w:tcPr>
          <w:p w14:paraId="455294A2">
            <w:pPr>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lang w:eastAsia="zh-CN"/>
              </w:rPr>
              <w:t>现场检查</w:t>
            </w:r>
          </w:p>
        </w:tc>
        <w:tc>
          <w:tcPr>
            <w:tcW w:w="1175" w:type="dxa"/>
            <w:tcBorders>
              <w:tl2br w:val="nil"/>
              <w:tr2bl w:val="nil"/>
            </w:tcBorders>
            <w:noWrap w:val="0"/>
            <w:vAlign w:val="center"/>
          </w:tcPr>
          <w:p w14:paraId="290C427F">
            <w:pPr>
              <w:keepNext w:val="0"/>
              <w:keepLines w:val="0"/>
              <w:pageBreakBefore w:val="0"/>
              <w:widowControl w:val="0"/>
              <w:kinsoku/>
              <w:wordWrap/>
              <w:overflowPunct/>
              <w:topLinePunct w:val="0"/>
              <w:autoSpaceDE w:val="0"/>
              <w:autoSpaceDN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7F8015CB">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68267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22901410">
            <w:pPr>
              <w:pStyle w:val="10"/>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val="en-US" w:eastAsia="zh-CN"/>
              </w:rPr>
              <w:t>21</w:t>
            </w:r>
          </w:p>
        </w:tc>
        <w:tc>
          <w:tcPr>
            <w:tcW w:w="938" w:type="dxa"/>
            <w:tcBorders>
              <w:tl2br w:val="nil"/>
              <w:tr2bl w:val="nil"/>
            </w:tcBorders>
            <w:noWrap w:val="0"/>
            <w:vAlign w:val="center"/>
          </w:tcPr>
          <w:p w14:paraId="21435376">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对</w:t>
            </w:r>
            <w:r>
              <w:rPr>
                <w:rFonts w:hint="eastAsia" w:asciiTheme="minorEastAsia" w:hAnsiTheme="minorEastAsia" w:eastAsiaTheme="minorEastAsia" w:cstheme="minorEastAsia"/>
                <w:color w:val="auto"/>
                <w:spacing w:val="0"/>
                <w:sz w:val="21"/>
                <w:szCs w:val="21"/>
              </w:rPr>
              <w:t>广告经营者、广告发布者的广告业务承接登记、审核、档案管理、统计报表，广告设计、制作、代理、发布等广告行为检查</w:t>
            </w:r>
          </w:p>
        </w:tc>
        <w:tc>
          <w:tcPr>
            <w:tcW w:w="1200" w:type="dxa"/>
            <w:tcBorders>
              <w:tl2br w:val="nil"/>
              <w:tr2bl w:val="nil"/>
            </w:tcBorders>
            <w:noWrap w:val="0"/>
            <w:vAlign w:val="center"/>
          </w:tcPr>
          <w:p w14:paraId="23B072F6">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市场监管</w:t>
            </w:r>
          </w:p>
          <w:p w14:paraId="18D289D6">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部门</w:t>
            </w:r>
          </w:p>
          <w:p w14:paraId="64DDFF4D">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rPr>
              <w:t>（县级以上）</w:t>
            </w:r>
          </w:p>
        </w:tc>
        <w:tc>
          <w:tcPr>
            <w:tcW w:w="3537" w:type="dxa"/>
            <w:tcBorders>
              <w:tl2br w:val="nil"/>
              <w:tr2bl w:val="nil"/>
            </w:tcBorders>
            <w:noWrap w:val="0"/>
            <w:vAlign w:val="center"/>
          </w:tcPr>
          <w:p w14:paraId="59B51D7E">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highlight w:val="none"/>
              </w:rPr>
              <w:t>《广告法》第</w:t>
            </w:r>
            <w:r>
              <w:rPr>
                <w:rFonts w:hint="eastAsia" w:asciiTheme="minorEastAsia" w:hAnsiTheme="minorEastAsia" w:eastAsiaTheme="minorEastAsia" w:cstheme="minorEastAsia"/>
                <w:color w:val="auto"/>
                <w:spacing w:val="0"/>
                <w:sz w:val="21"/>
                <w:szCs w:val="21"/>
                <w:highlight w:val="none"/>
                <w:lang w:eastAsia="zh-CN"/>
              </w:rPr>
              <w:t>五</w:t>
            </w:r>
            <w:r>
              <w:rPr>
                <w:rFonts w:hint="eastAsia" w:asciiTheme="minorEastAsia" w:hAnsiTheme="minorEastAsia" w:eastAsiaTheme="minorEastAsia" w:cstheme="minorEastAsia"/>
                <w:color w:val="auto"/>
                <w:spacing w:val="0"/>
                <w:sz w:val="21"/>
                <w:szCs w:val="21"/>
                <w:highlight w:val="none"/>
              </w:rPr>
              <w:t>条、第六条</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第四十九条</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第</w:t>
            </w:r>
            <w:r>
              <w:rPr>
                <w:rFonts w:hint="eastAsia" w:asciiTheme="minorEastAsia" w:hAnsiTheme="minorEastAsia" w:eastAsiaTheme="minorEastAsia" w:cstheme="minorEastAsia"/>
                <w:color w:val="auto"/>
                <w:spacing w:val="0"/>
                <w:sz w:val="21"/>
                <w:szCs w:val="21"/>
                <w:highlight w:val="none"/>
                <w:lang w:eastAsia="zh-CN"/>
              </w:rPr>
              <w:t>五</w:t>
            </w:r>
            <w:r>
              <w:rPr>
                <w:rFonts w:hint="eastAsia" w:asciiTheme="minorEastAsia" w:hAnsiTheme="minorEastAsia" w:eastAsiaTheme="minorEastAsia" w:cstheme="minorEastAsia"/>
                <w:color w:val="auto"/>
                <w:spacing w:val="0"/>
                <w:sz w:val="21"/>
                <w:szCs w:val="21"/>
                <w:highlight w:val="none"/>
              </w:rPr>
              <w:t>十</w:t>
            </w:r>
            <w:r>
              <w:rPr>
                <w:rFonts w:hint="eastAsia" w:asciiTheme="minorEastAsia" w:hAnsiTheme="minorEastAsia" w:eastAsiaTheme="minorEastAsia" w:cstheme="minorEastAsia"/>
                <w:color w:val="auto"/>
                <w:spacing w:val="0"/>
                <w:sz w:val="21"/>
                <w:szCs w:val="21"/>
                <w:highlight w:val="none"/>
                <w:lang w:eastAsia="zh-CN"/>
              </w:rPr>
              <w:t>一</w:t>
            </w:r>
            <w:r>
              <w:rPr>
                <w:rFonts w:hint="eastAsia" w:asciiTheme="minorEastAsia" w:hAnsiTheme="minorEastAsia" w:eastAsiaTheme="minorEastAsia" w:cstheme="minorEastAsia"/>
                <w:color w:val="auto"/>
                <w:spacing w:val="0"/>
                <w:sz w:val="21"/>
                <w:szCs w:val="21"/>
                <w:highlight w:val="none"/>
              </w:rPr>
              <w:t>条</w:t>
            </w:r>
          </w:p>
        </w:tc>
        <w:tc>
          <w:tcPr>
            <w:tcW w:w="938" w:type="dxa"/>
            <w:tcBorders>
              <w:tl2br w:val="nil"/>
              <w:tr2bl w:val="nil"/>
            </w:tcBorders>
            <w:noWrap w:val="0"/>
            <w:vAlign w:val="center"/>
          </w:tcPr>
          <w:p w14:paraId="2CAB0DFC">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广告监管股、执法大队、市监所</w:t>
            </w:r>
          </w:p>
        </w:tc>
        <w:tc>
          <w:tcPr>
            <w:tcW w:w="825" w:type="dxa"/>
            <w:tcBorders>
              <w:tl2br w:val="nil"/>
              <w:tr2bl w:val="nil"/>
            </w:tcBorders>
            <w:noWrap w:val="0"/>
            <w:vAlign w:val="center"/>
          </w:tcPr>
          <w:p w14:paraId="5C25DE36">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企业、个体工商户及</w:t>
            </w:r>
            <w:r>
              <w:rPr>
                <w:rFonts w:hint="eastAsia" w:asciiTheme="minorEastAsia" w:hAnsiTheme="minorEastAsia" w:eastAsiaTheme="minorEastAsia" w:cstheme="minorEastAsia"/>
                <w:color w:val="auto"/>
                <w:spacing w:val="0"/>
                <w:sz w:val="21"/>
                <w:szCs w:val="21"/>
                <w:lang w:eastAsia="zh-CN"/>
              </w:rPr>
              <w:t>其他</w:t>
            </w:r>
            <w:r>
              <w:rPr>
                <w:rFonts w:hint="eastAsia" w:asciiTheme="minorEastAsia" w:hAnsiTheme="minorEastAsia" w:eastAsiaTheme="minorEastAsia" w:cstheme="minorEastAsia"/>
                <w:color w:val="auto"/>
                <w:spacing w:val="0"/>
                <w:sz w:val="21"/>
                <w:szCs w:val="21"/>
              </w:rPr>
              <w:t>经营单位</w:t>
            </w:r>
          </w:p>
        </w:tc>
        <w:tc>
          <w:tcPr>
            <w:tcW w:w="3737" w:type="dxa"/>
            <w:tcBorders>
              <w:tl2br w:val="nil"/>
              <w:tr2bl w:val="nil"/>
            </w:tcBorders>
            <w:noWrap w:val="0"/>
            <w:vAlign w:val="center"/>
          </w:tcPr>
          <w:p w14:paraId="25A56BAA">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1.检查广告经营者、广告发布者是否违反《广告法》等法律法规涉嫌发布虚假违法广告；</w:t>
            </w:r>
          </w:p>
          <w:p w14:paraId="56CB3FDA">
            <w:pPr>
              <w:keepNext w:val="0"/>
              <w:keepLines w:val="0"/>
              <w:pageBreakBefore w:val="0"/>
              <w:widowControl w:val="0"/>
              <w:kinsoku/>
              <w:wordWrap/>
              <w:overflowPunct/>
              <w:topLinePunct w:val="0"/>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lang w:val="en-US" w:eastAsia="zh-CN"/>
              </w:rPr>
              <w:t>2.检查广告经营单位是否建立、健全广告业务的承接登记、审核、档案管理等制度。</w:t>
            </w:r>
          </w:p>
        </w:tc>
        <w:tc>
          <w:tcPr>
            <w:tcW w:w="963" w:type="dxa"/>
            <w:tcBorders>
              <w:tl2br w:val="nil"/>
              <w:tr2bl w:val="nil"/>
            </w:tcBorders>
            <w:noWrap w:val="0"/>
            <w:vAlign w:val="center"/>
          </w:tcPr>
          <w:p w14:paraId="02B5F7EA">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现场检查</w:t>
            </w:r>
          </w:p>
        </w:tc>
        <w:tc>
          <w:tcPr>
            <w:tcW w:w="1175" w:type="dxa"/>
            <w:tcBorders>
              <w:tl2br w:val="nil"/>
              <w:tr2bl w:val="nil"/>
            </w:tcBorders>
            <w:noWrap w:val="0"/>
            <w:vAlign w:val="center"/>
          </w:tcPr>
          <w:p w14:paraId="67D585C8">
            <w:pPr>
              <w:keepNext w:val="0"/>
              <w:keepLines w:val="0"/>
              <w:pageBreakBefore w:val="0"/>
              <w:widowControl w:val="0"/>
              <w:kinsoku/>
              <w:wordWrap/>
              <w:overflowPunct/>
              <w:topLinePunct w:val="0"/>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70A9B07E">
            <w:pPr>
              <w:keepNext w:val="0"/>
              <w:keepLines w:val="0"/>
              <w:pageBreakBefore w:val="0"/>
              <w:widowControl w:val="0"/>
              <w:kinsoku/>
              <w:wordWrap/>
              <w:overflowPunct/>
              <w:topLinePunct w:val="0"/>
              <w:bidi w:val="0"/>
              <w:snapToGrid/>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6BFC9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81" w:hRule="atLeast"/>
          <w:jc w:val="center"/>
        </w:trPr>
        <w:tc>
          <w:tcPr>
            <w:tcW w:w="546" w:type="dxa"/>
            <w:tcBorders>
              <w:tl2br w:val="nil"/>
              <w:tr2bl w:val="nil"/>
            </w:tcBorders>
            <w:noWrap w:val="0"/>
            <w:vAlign w:val="center"/>
          </w:tcPr>
          <w:p w14:paraId="608C737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22</w:t>
            </w:r>
          </w:p>
        </w:tc>
        <w:tc>
          <w:tcPr>
            <w:tcW w:w="938" w:type="dxa"/>
            <w:tcBorders>
              <w:tl2br w:val="nil"/>
              <w:tr2bl w:val="nil"/>
            </w:tcBorders>
            <w:noWrap w:val="0"/>
            <w:vAlign w:val="center"/>
          </w:tcPr>
          <w:p w14:paraId="78A8570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对产品质量的监督检查</w:t>
            </w:r>
          </w:p>
        </w:tc>
        <w:tc>
          <w:tcPr>
            <w:tcW w:w="1200" w:type="dxa"/>
            <w:tcBorders>
              <w:tl2br w:val="nil"/>
              <w:tr2bl w:val="nil"/>
            </w:tcBorders>
            <w:noWrap w:val="0"/>
            <w:vAlign w:val="center"/>
          </w:tcPr>
          <w:p w14:paraId="41A31854">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p>
          <w:p w14:paraId="2EEEF87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管理部门</w:t>
            </w:r>
          </w:p>
          <w:p w14:paraId="7C24096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08DA07E0">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b w:val="0"/>
                <w:bCs/>
                <w:i w:val="0"/>
                <w:color w:val="auto"/>
                <w:spacing w:val="0"/>
                <w:kern w:val="0"/>
                <w:sz w:val="21"/>
                <w:szCs w:val="21"/>
                <w:u w:val="none"/>
                <w:lang w:val="en-US" w:eastAsia="zh-CN" w:bidi="ar"/>
              </w:rPr>
              <w:t>《中华人民共和国产品质量法》</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第八条 县级以上地方市场监督管理部门主管本行政区域内的产品质量监督工作。县级以上地方人民政府有关部门在各自的职责范围内负责产品质量监督工作。</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《工业产品生产单位落实质量安全主体责任监督管理规定》</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第十四条 市场监督管理部门应当将生产单位建立并落实工业产品质量安全责任制等管理制度,生产单位在日管控、周排查、月调度中发现的工业产品质量安全风险隐患以及整改情况作为监督检查的重要内容。</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《工业产品销售单位落实质量安全主体责任监督管理规定》</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第十四条 市场监督管理部门应当将销售单位建立并落实工业产品质量安全责任制等管理制度,生产单位在日管控、周排查、月调度中发现的工业产品质量安全风险隐患以及整改情况作为监督检查的重要内容。</w:t>
            </w:r>
          </w:p>
        </w:tc>
        <w:tc>
          <w:tcPr>
            <w:tcW w:w="938" w:type="dxa"/>
            <w:tcBorders>
              <w:tl2br w:val="nil"/>
              <w:tr2bl w:val="nil"/>
            </w:tcBorders>
            <w:noWrap w:val="0"/>
            <w:vAlign w:val="center"/>
          </w:tcPr>
          <w:p w14:paraId="52D82388">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标准质量股、消保股、</w:t>
            </w:r>
            <w:r>
              <w:rPr>
                <w:rFonts w:hint="eastAsia" w:asciiTheme="minorEastAsia" w:hAnsiTheme="minorEastAsia" w:eastAsiaTheme="minorEastAsia" w:cstheme="minorEastAsia"/>
                <w:color w:val="auto"/>
                <w:spacing w:val="0"/>
                <w:sz w:val="21"/>
                <w:szCs w:val="21"/>
                <w:lang w:eastAsia="zh-CN"/>
              </w:rPr>
              <w:t>执法大队、市监所</w:t>
            </w:r>
          </w:p>
        </w:tc>
        <w:tc>
          <w:tcPr>
            <w:tcW w:w="825" w:type="dxa"/>
            <w:tcBorders>
              <w:tl2br w:val="nil"/>
              <w:tr2bl w:val="nil"/>
            </w:tcBorders>
            <w:noWrap w:val="0"/>
            <w:vAlign w:val="center"/>
          </w:tcPr>
          <w:p w14:paraId="78FBE67E">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工业产品生产企业和销售企业</w:t>
            </w:r>
          </w:p>
        </w:tc>
        <w:tc>
          <w:tcPr>
            <w:tcW w:w="3737" w:type="dxa"/>
            <w:tcBorders>
              <w:tl2br w:val="nil"/>
              <w:tr2bl w:val="nil"/>
            </w:tcBorders>
            <w:noWrap w:val="0"/>
            <w:vAlign w:val="center"/>
          </w:tcPr>
          <w:p w14:paraId="35EFCD9D">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1、建立健全产品质量管理制度情况检查；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2、产品质量情况检查；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3、产品标识情况检查；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4、落实质量安全主体责任情况检查。</w:t>
            </w:r>
          </w:p>
        </w:tc>
        <w:tc>
          <w:tcPr>
            <w:tcW w:w="963" w:type="dxa"/>
            <w:tcBorders>
              <w:tl2br w:val="nil"/>
              <w:tr2bl w:val="nil"/>
            </w:tcBorders>
            <w:noWrap w:val="0"/>
            <w:vAlign w:val="center"/>
          </w:tcPr>
          <w:p w14:paraId="51BCF29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w:t>
            </w:r>
          </w:p>
        </w:tc>
        <w:tc>
          <w:tcPr>
            <w:tcW w:w="1175" w:type="dxa"/>
            <w:tcBorders>
              <w:tl2br w:val="nil"/>
              <w:tr2bl w:val="nil"/>
            </w:tcBorders>
            <w:noWrap w:val="0"/>
            <w:vAlign w:val="center"/>
          </w:tcPr>
          <w:p w14:paraId="20654A3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2FCA878E">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根据质量状况、上级要求、社会舆情、投诉举报等进行评估，省、市、县级市场监管部门可在辖区内组织开展专项监督检查工作。县级市场监管部门组织监管所负责日常监督检查工作。</w:t>
            </w:r>
          </w:p>
        </w:tc>
      </w:tr>
      <w:tr w14:paraId="1C32E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15" w:hRule="atLeast"/>
          <w:jc w:val="center"/>
        </w:trPr>
        <w:tc>
          <w:tcPr>
            <w:tcW w:w="546" w:type="dxa"/>
            <w:tcBorders>
              <w:tl2br w:val="nil"/>
              <w:tr2bl w:val="nil"/>
            </w:tcBorders>
            <w:noWrap w:val="0"/>
            <w:vAlign w:val="center"/>
          </w:tcPr>
          <w:p w14:paraId="5E7D223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lang w:val="en-US" w:eastAsia="zh-CN"/>
              </w:rPr>
              <w:t>23</w:t>
            </w:r>
          </w:p>
        </w:tc>
        <w:tc>
          <w:tcPr>
            <w:tcW w:w="938" w:type="dxa"/>
            <w:tcBorders>
              <w:tl2br w:val="nil"/>
              <w:tr2bl w:val="nil"/>
            </w:tcBorders>
            <w:noWrap w:val="0"/>
            <w:vAlign w:val="center"/>
          </w:tcPr>
          <w:p w14:paraId="672AA71A">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对获得工业产品生产许可证企业的监督检查</w:t>
            </w:r>
          </w:p>
        </w:tc>
        <w:tc>
          <w:tcPr>
            <w:tcW w:w="1200" w:type="dxa"/>
            <w:tcBorders>
              <w:tl2br w:val="nil"/>
              <w:tr2bl w:val="nil"/>
            </w:tcBorders>
            <w:noWrap w:val="0"/>
            <w:vAlign w:val="center"/>
          </w:tcPr>
          <w:p w14:paraId="0BEC84C0">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p>
          <w:p w14:paraId="36D53EE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管理部门</w:t>
            </w:r>
          </w:p>
          <w:p w14:paraId="7EE89157">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132AA1F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b w:val="0"/>
                <w:bCs/>
                <w:i w:val="0"/>
                <w:color w:val="auto"/>
                <w:spacing w:val="0"/>
                <w:kern w:val="0"/>
                <w:sz w:val="21"/>
                <w:szCs w:val="21"/>
                <w:u w:val="none"/>
                <w:lang w:val="en-US" w:eastAsia="zh-CN" w:bidi="ar"/>
              </w:rPr>
              <w:t>《中华人民共和国行政许可法》</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第六十一条 行政机关应当建立健全监督制度，通过核查反映被许可人从事行政许可事项活动情况的有关材料，履行监督责任。</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《中华人民共和国工业产品生产许可证管理条例》</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第三十九条 国务院工业产品生产许可证主管部门和县级以上地方工业产品生产许可证主管部门应当对企业实施定期或者不定期的监督检查。</w:t>
            </w:r>
          </w:p>
        </w:tc>
        <w:tc>
          <w:tcPr>
            <w:tcW w:w="938" w:type="dxa"/>
            <w:tcBorders>
              <w:tl2br w:val="nil"/>
              <w:tr2bl w:val="nil"/>
            </w:tcBorders>
            <w:noWrap w:val="0"/>
            <w:vAlign w:val="center"/>
          </w:tcPr>
          <w:p w14:paraId="54677F0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标准质量股、</w:t>
            </w:r>
            <w:r>
              <w:rPr>
                <w:rFonts w:hint="eastAsia" w:asciiTheme="minorEastAsia" w:hAnsiTheme="minorEastAsia" w:eastAsiaTheme="minorEastAsia" w:cstheme="minorEastAsia"/>
                <w:color w:val="auto"/>
                <w:spacing w:val="0"/>
                <w:sz w:val="21"/>
                <w:szCs w:val="21"/>
                <w:lang w:eastAsia="zh-CN"/>
              </w:rPr>
              <w:t>执法大队、市监所</w:t>
            </w:r>
          </w:p>
        </w:tc>
        <w:tc>
          <w:tcPr>
            <w:tcW w:w="825" w:type="dxa"/>
            <w:tcBorders>
              <w:tl2br w:val="nil"/>
              <w:tr2bl w:val="nil"/>
            </w:tcBorders>
            <w:noWrap w:val="0"/>
            <w:vAlign w:val="center"/>
          </w:tcPr>
          <w:p w14:paraId="6E12AA8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获得工业产品生产许可证的企业</w:t>
            </w:r>
          </w:p>
        </w:tc>
        <w:tc>
          <w:tcPr>
            <w:tcW w:w="3737" w:type="dxa"/>
            <w:tcBorders>
              <w:tl2br w:val="nil"/>
              <w:tr2bl w:val="nil"/>
            </w:tcBorders>
            <w:noWrap w:val="0"/>
            <w:vAlign w:val="center"/>
          </w:tcPr>
          <w:p w14:paraId="59F3E5A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按照产品对应的工业产品生产许可证实施细则执行，通常包括：</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1、营业执照情况检查；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2、专业技术人员情况检查；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3、生产条件和检验检疫手段情况检查；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4、技术文件和工艺文件检查；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5、质量管理制度和责任制度检查；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6、产品质量情况检查；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7、产业政策情况检查。</w:t>
            </w:r>
          </w:p>
        </w:tc>
        <w:tc>
          <w:tcPr>
            <w:tcW w:w="963" w:type="dxa"/>
            <w:tcBorders>
              <w:tl2br w:val="nil"/>
              <w:tr2bl w:val="nil"/>
            </w:tcBorders>
            <w:noWrap w:val="0"/>
            <w:vAlign w:val="center"/>
          </w:tcPr>
          <w:p w14:paraId="01CB07D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w:t>
            </w:r>
          </w:p>
        </w:tc>
        <w:tc>
          <w:tcPr>
            <w:tcW w:w="1175" w:type="dxa"/>
            <w:tcBorders>
              <w:tl2br w:val="nil"/>
              <w:tr2bl w:val="nil"/>
            </w:tcBorders>
            <w:noWrap w:val="0"/>
            <w:vAlign w:val="center"/>
          </w:tcPr>
          <w:p w14:paraId="3E1810D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588B7D7D">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按照省级检查20%、市级检查30%、县级补充全覆盖的原则，通过“双随机、一公开”平台随机抽取检查对象。</w:t>
            </w:r>
          </w:p>
        </w:tc>
      </w:tr>
      <w:tr w14:paraId="5EE93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56ADB12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b w:val="0"/>
                <w:bCs w:val="0"/>
                <w:color w:val="auto"/>
                <w:spacing w:val="0"/>
                <w:sz w:val="21"/>
                <w:szCs w:val="21"/>
                <w:vertAlign w:val="baseline"/>
                <w:lang w:val="en-US" w:eastAsia="zh-CN"/>
              </w:rPr>
            </w:pPr>
            <w:r>
              <w:rPr>
                <w:rFonts w:hint="eastAsia" w:asciiTheme="minorEastAsia" w:hAnsiTheme="minorEastAsia" w:eastAsiaTheme="minorEastAsia" w:cstheme="minorEastAsia"/>
                <w:b w:val="0"/>
                <w:bCs w:val="0"/>
                <w:color w:val="auto"/>
                <w:spacing w:val="0"/>
                <w:sz w:val="21"/>
                <w:szCs w:val="21"/>
                <w:vertAlign w:val="baseline"/>
                <w:lang w:val="en-US" w:eastAsia="zh-CN"/>
              </w:rPr>
              <w:t>24</w:t>
            </w:r>
          </w:p>
        </w:tc>
        <w:tc>
          <w:tcPr>
            <w:tcW w:w="938" w:type="dxa"/>
            <w:tcBorders>
              <w:tl2br w:val="nil"/>
              <w:tr2bl w:val="nil"/>
            </w:tcBorders>
            <w:noWrap w:val="0"/>
            <w:vAlign w:val="center"/>
          </w:tcPr>
          <w:p w14:paraId="69DC64D6">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rPr>
              <w:t>企业</w:t>
            </w:r>
            <w:r>
              <w:rPr>
                <w:rFonts w:hint="eastAsia" w:asciiTheme="minorEastAsia" w:hAnsiTheme="minorEastAsia" w:eastAsiaTheme="minorEastAsia" w:cstheme="minorEastAsia"/>
                <w:color w:val="auto"/>
                <w:spacing w:val="0"/>
                <w:sz w:val="21"/>
                <w:szCs w:val="21"/>
                <w:highlight w:val="none"/>
                <w:lang w:eastAsia="zh-CN"/>
              </w:rPr>
              <w:t>、社会团体</w:t>
            </w:r>
            <w:r>
              <w:rPr>
                <w:rFonts w:hint="eastAsia" w:asciiTheme="minorEastAsia" w:hAnsiTheme="minorEastAsia" w:eastAsiaTheme="minorEastAsia" w:cstheme="minorEastAsia"/>
                <w:color w:val="auto"/>
                <w:spacing w:val="0"/>
                <w:sz w:val="21"/>
                <w:szCs w:val="21"/>
                <w:highlight w:val="none"/>
              </w:rPr>
              <w:t>标准自我声明监督检查</w:t>
            </w:r>
          </w:p>
        </w:tc>
        <w:tc>
          <w:tcPr>
            <w:tcW w:w="1200" w:type="dxa"/>
            <w:tcBorders>
              <w:tl2br w:val="nil"/>
              <w:tr2bl w:val="nil"/>
            </w:tcBorders>
            <w:noWrap w:val="0"/>
            <w:vAlign w:val="center"/>
          </w:tcPr>
          <w:p w14:paraId="581D3C13">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rPr>
              <w:t>县级以上市场监管部门</w:t>
            </w:r>
          </w:p>
        </w:tc>
        <w:tc>
          <w:tcPr>
            <w:tcW w:w="3537" w:type="dxa"/>
            <w:tcBorders>
              <w:tl2br w:val="nil"/>
              <w:tr2bl w:val="nil"/>
            </w:tcBorders>
            <w:noWrap w:val="0"/>
            <w:vAlign w:val="center"/>
          </w:tcPr>
          <w:p w14:paraId="4F856D1B">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b w:val="0"/>
                <w:bCs/>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rPr>
              <w:t>《标准化法》第二十七条、第三十八条、第三十九条、第四十二条</w:t>
            </w:r>
          </w:p>
        </w:tc>
        <w:tc>
          <w:tcPr>
            <w:tcW w:w="938" w:type="dxa"/>
            <w:tcBorders>
              <w:tl2br w:val="nil"/>
              <w:tr2bl w:val="nil"/>
            </w:tcBorders>
            <w:noWrap w:val="0"/>
            <w:vAlign w:val="center"/>
          </w:tcPr>
          <w:p w14:paraId="43EDFD9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标准质量股</w:t>
            </w:r>
            <w:r>
              <w:rPr>
                <w:rFonts w:hint="eastAsia" w:asciiTheme="minorEastAsia" w:hAnsiTheme="minorEastAsia" w:eastAsiaTheme="minorEastAsia" w:cstheme="minorEastAsia"/>
                <w:color w:val="auto"/>
                <w:spacing w:val="0"/>
                <w:sz w:val="21"/>
                <w:szCs w:val="21"/>
                <w:lang w:eastAsia="zh-CN"/>
              </w:rPr>
              <w:t>、执法大队</w:t>
            </w:r>
          </w:p>
        </w:tc>
        <w:tc>
          <w:tcPr>
            <w:tcW w:w="825" w:type="dxa"/>
            <w:tcBorders>
              <w:tl2br w:val="nil"/>
              <w:tr2bl w:val="nil"/>
            </w:tcBorders>
            <w:noWrap w:val="0"/>
            <w:vAlign w:val="center"/>
          </w:tcPr>
          <w:p w14:paraId="1D5C4CFA">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企业、社会团体</w:t>
            </w:r>
          </w:p>
        </w:tc>
        <w:tc>
          <w:tcPr>
            <w:tcW w:w="3737" w:type="dxa"/>
            <w:tcBorders>
              <w:tl2br w:val="nil"/>
              <w:tr2bl w:val="nil"/>
            </w:tcBorders>
            <w:noWrap w:val="0"/>
            <w:vAlign w:val="center"/>
          </w:tcPr>
          <w:p w14:paraId="2484198E">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rPr>
              <w:t>一般检查事项</w:t>
            </w:r>
          </w:p>
        </w:tc>
        <w:tc>
          <w:tcPr>
            <w:tcW w:w="963" w:type="dxa"/>
            <w:tcBorders>
              <w:tl2br w:val="nil"/>
              <w:tr2bl w:val="nil"/>
            </w:tcBorders>
            <w:noWrap w:val="0"/>
            <w:vAlign w:val="center"/>
          </w:tcPr>
          <w:p w14:paraId="527C2A97">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非现场</w:t>
            </w:r>
          </w:p>
          <w:p w14:paraId="34F366A4">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lang w:eastAsia="zh-CN"/>
              </w:rPr>
              <w:t>检查</w:t>
            </w:r>
          </w:p>
        </w:tc>
        <w:tc>
          <w:tcPr>
            <w:tcW w:w="1175" w:type="dxa"/>
            <w:tcBorders>
              <w:tl2br w:val="nil"/>
              <w:tr2bl w:val="nil"/>
            </w:tcBorders>
            <w:noWrap w:val="0"/>
            <w:vAlign w:val="center"/>
          </w:tcPr>
          <w:p w14:paraId="2AC3560F">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7C0F2294">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722BE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147CACD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25</w:t>
            </w:r>
          </w:p>
        </w:tc>
        <w:tc>
          <w:tcPr>
            <w:tcW w:w="938" w:type="dxa"/>
            <w:tcBorders>
              <w:tl2br w:val="nil"/>
              <w:tr2bl w:val="nil"/>
            </w:tcBorders>
            <w:noWrap w:val="0"/>
            <w:vAlign w:val="center"/>
          </w:tcPr>
          <w:p w14:paraId="76C4B0D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对食品（食品添加剂）生产者的监督检查</w:t>
            </w:r>
          </w:p>
        </w:tc>
        <w:tc>
          <w:tcPr>
            <w:tcW w:w="1200" w:type="dxa"/>
            <w:tcBorders>
              <w:tl2br w:val="nil"/>
              <w:tr2bl w:val="nil"/>
            </w:tcBorders>
            <w:noWrap w:val="0"/>
            <w:vAlign w:val="center"/>
          </w:tcPr>
          <w:p w14:paraId="2872660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p>
          <w:p w14:paraId="4E22358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管理部门</w:t>
            </w:r>
          </w:p>
          <w:p w14:paraId="63DFADA8">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（省级、市级和县级）</w:t>
            </w:r>
          </w:p>
        </w:tc>
        <w:tc>
          <w:tcPr>
            <w:tcW w:w="3537" w:type="dxa"/>
            <w:tcBorders>
              <w:tl2br w:val="nil"/>
              <w:tr2bl w:val="nil"/>
            </w:tcBorders>
            <w:noWrap w:val="0"/>
            <w:vAlign w:val="center"/>
          </w:tcPr>
          <w:p w14:paraId="07C2E439">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3484A423">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p>
          <w:p w14:paraId="75E09AAF">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县级人民政府食品安全监督管理部门可以在乡镇或者特定区域设立派出机构。</w:t>
            </w:r>
          </w:p>
          <w:p w14:paraId="2CD0C8F2">
            <w:pPr>
              <w:keepNext w:val="0"/>
              <w:keepLines w:val="0"/>
              <w:pageBreakBefore w:val="0"/>
              <w:widowControl w:val="0"/>
              <w:suppressLineNumbers w:val="0"/>
              <w:kinsoku/>
              <w:wordWrap/>
              <w:overflowPunct/>
              <w:topLinePunct w:val="0"/>
              <w:autoSpaceDE/>
              <w:autoSpaceDN/>
              <w:bidi w:val="0"/>
              <w:adjustRightInd/>
              <w:snapToGrid/>
              <w:spacing w:line="276"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第一百零九条：县级以上人民政府食品安全监督管理部门根据食品安全风险监测、风险评估结果和食品安全状况等，确定监督管理的重点、方式和频次，实施风险分级管理。</w:t>
            </w:r>
          </w:p>
          <w:p w14:paraId="1FAF0F88">
            <w:pPr>
              <w:keepNext w:val="0"/>
              <w:keepLines w:val="0"/>
              <w:pageBreakBefore w:val="0"/>
              <w:widowControl w:val="0"/>
              <w:suppressLineNumbers w:val="0"/>
              <w:kinsoku/>
              <w:wordWrap/>
              <w:overflowPunct/>
              <w:topLinePunct w:val="0"/>
              <w:autoSpaceDE/>
              <w:autoSpaceDN/>
              <w:bidi w:val="0"/>
              <w:adjustRightInd/>
              <w:snapToGrid/>
              <w:spacing w:line="276"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县级以上地方人民政府组织本级食品安全监督管理、农业行政等部门制定本行政区域的食品安全年度监督管理计划，向社会公布并组织实施。</w:t>
            </w:r>
          </w:p>
          <w:p w14:paraId="3555DFF0">
            <w:pPr>
              <w:keepNext w:val="0"/>
              <w:keepLines w:val="0"/>
              <w:pageBreakBefore w:val="0"/>
              <w:widowControl w:val="0"/>
              <w:suppressLineNumbers w:val="0"/>
              <w:kinsoku/>
              <w:wordWrap/>
              <w:overflowPunct/>
              <w:topLinePunct w:val="0"/>
              <w:autoSpaceDE/>
              <w:autoSpaceDN/>
              <w:bidi w:val="0"/>
              <w:adjustRightInd/>
              <w:snapToGrid/>
              <w:spacing w:line="276"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第一百一十条：县级以上人民政府食品安全监督管理部门履行食品安全监督管理职责，有权采取下列措施，对生产经营者遵守本法的情况进行监督检查：</w:t>
            </w:r>
          </w:p>
          <w:p w14:paraId="01B7A548">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p>
          <w:p w14:paraId="4D9CEACD">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p>
          <w:p w14:paraId="19C9D412">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p>
          <w:p w14:paraId="5D141BF4">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p>
          <w:p w14:paraId="70BB177E">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（五）查封违法从事生产经营活动的场所。</w:t>
            </w:r>
          </w:p>
          <w:p w14:paraId="64147BBF">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生产经营监督检查管理办法》（2021年修订）第八条省级市场监督管理部门负责监督指导本行政区域内食品生产经营监督检查工作，重点组织和协调对产品风险高、影响区域广的食品生产经营者的监督检查。</w:t>
            </w:r>
          </w:p>
          <w:p w14:paraId="38A3C3EC">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第九条 设区的市级（以下简称市级）、县级市场监督管理部门负责本行政区域内食品生产经营监督检查工作。</w:t>
            </w:r>
          </w:p>
          <w:p w14:paraId="17072F1B">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市级市场监督管理部门可以结合本行政区域食品生产经营者规模、风险、分布等实际情况，按照本级人民政府要求，划分本行政区域监督检查事权，确保监督检查覆盖本行政区域所有食品生产经营者。"</w:t>
            </w:r>
          </w:p>
        </w:tc>
        <w:tc>
          <w:tcPr>
            <w:tcW w:w="938" w:type="dxa"/>
            <w:tcBorders>
              <w:tl2br w:val="nil"/>
              <w:tr2bl w:val="nil"/>
            </w:tcBorders>
            <w:noWrap w:val="0"/>
            <w:vAlign w:val="center"/>
          </w:tcPr>
          <w:p w14:paraId="6D5A0D4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食品生产股、执法大队、市监所</w:t>
            </w:r>
          </w:p>
        </w:tc>
        <w:tc>
          <w:tcPr>
            <w:tcW w:w="825" w:type="dxa"/>
            <w:tcBorders>
              <w:tl2br w:val="nil"/>
              <w:tr2bl w:val="nil"/>
            </w:tcBorders>
            <w:noWrap w:val="0"/>
            <w:vAlign w:val="center"/>
          </w:tcPr>
          <w:p w14:paraId="34520460">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食品（食品添加剂）生产者</w:t>
            </w:r>
          </w:p>
        </w:tc>
        <w:tc>
          <w:tcPr>
            <w:tcW w:w="3737" w:type="dxa"/>
            <w:tcBorders>
              <w:tl2br w:val="nil"/>
              <w:tr2bl w:val="nil"/>
            </w:tcBorders>
            <w:noWrap w:val="0"/>
            <w:vAlign w:val="center"/>
          </w:tcPr>
          <w:p w14:paraId="0E5B1F7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p>
          <w:p w14:paraId="188E8CF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p>
          <w:p w14:paraId="1F8635A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p>
          <w:p w14:paraId="1BA1016A">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p>
        </w:tc>
        <w:tc>
          <w:tcPr>
            <w:tcW w:w="963" w:type="dxa"/>
            <w:tcBorders>
              <w:tl2br w:val="nil"/>
              <w:tr2bl w:val="nil"/>
            </w:tcBorders>
            <w:noWrap w:val="0"/>
            <w:vAlign w:val="center"/>
          </w:tcPr>
          <w:p w14:paraId="67A30B3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w:t>
            </w:r>
          </w:p>
        </w:tc>
        <w:tc>
          <w:tcPr>
            <w:tcW w:w="1175" w:type="dxa"/>
            <w:tcBorders>
              <w:tl2br w:val="nil"/>
              <w:tr2bl w:val="nil"/>
            </w:tcBorders>
            <w:noWrap w:val="0"/>
            <w:vAlign w:val="center"/>
          </w:tcPr>
          <w:p w14:paraId="0A81438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09858A90">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07C51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52" w:hRule="atLeast"/>
          <w:jc w:val="center"/>
        </w:trPr>
        <w:tc>
          <w:tcPr>
            <w:tcW w:w="546" w:type="dxa"/>
            <w:tcBorders>
              <w:tl2br w:val="nil"/>
              <w:tr2bl w:val="nil"/>
            </w:tcBorders>
            <w:noWrap w:val="0"/>
            <w:vAlign w:val="center"/>
          </w:tcPr>
          <w:p w14:paraId="3B3DA5E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26</w:t>
            </w:r>
          </w:p>
        </w:tc>
        <w:tc>
          <w:tcPr>
            <w:tcW w:w="938" w:type="dxa"/>
            <w:tcBorders>
              <w:tl2br w:val="nil"/>
              <w:tr2bl w:val="nil"/>
            </w:tcBorders>
            <w:noWrap w:val="0"/>
            <w:vAlign w:val="center"/>
          </w:tcPr>
          <w:p w14:paraId="1FD85250">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对食品生产加工小作坊的监督检查</w:t>
            </w:r>
          </w:p>
        </w:tc>
        <w:tc>
          <w:tcPr>
            <w:tcW w:w="1200" w:type="dxa"/>
            <w:tcBorders>
              <w:tl2br w:val="nil"/>
              <w:tr2bl w:val="nil"/>
            </w:tcBorders>
            <w:noWrap w:val="0"/>
            <w:vAlign w:val="center"/>
          </w:tcPr>
          <w:p w14:paraId="3294394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p>
          <w:p w14:paraId="764109C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管理部门</w:t>
            </w:r>
          </w:p>
          <w:p w14:paraId="74EF8F3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（省级、市级和县级）</w:t>
            </w:r>
          </w:p>
        </w:tc>
        <w:tc>
          <w:tcPr>
            <w:tcW w:w="3537" w:type="dxa"/>
            <w:tcBorders>
              <w:tl2br w:val="nil"/>
              <w:tr2bl w:val="nil"/>
            </w:tcBorders>
            <w:noWrap w:val="0"/>
            <w:vAlign w:val="center"/>
          </w:tcPr>
          <w:p w14:paraId="517520D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"《湖南省食品生产加工小作坊小餐饮和食品摊贩管理条例》（2024年修订）第四条：县级以上人民政府市场监督管理部门负责对本行政区域内小作坊、小餐饮和食品摊贩的食品安全进行监督管理和指导。</w:t>
            </w:r>
          </w:p>
          <w:p w14:paraId="4A2F473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县级以上人民政府城市管理部门按照法定职责做好食品摊贩的监督管理工作。</w:t>
            </w:r>
          </w:p>
          <w:p w14:paraId="6B4E585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县级以上人民政府发展和改革、卫生健康、农业农村、商务、生态环境等部门按照各自职责，负责本行政区域内小作坊、小餐饮和食品摊贩监督管理相关工作。</w:t>
            </w:r>
          </w:p>
          <w:p w14:paraId="2F47974A">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p>
          <w:p w14:paraId="150D693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938" w:type="dxa"/>
            <w:tcBorders>
              <w:tl2br w:val="nil"/>
              <w:tr2bl w:val="nil"/>
            </w:tcBorders>
            <w:noWrap w:val="0"/>
            <w:vAlign w:val="center"/>
          </w:tcPr>
          <w:p w14:paraId="4A4D4D1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食品生产股、执法大队、市监所</w:t>
            </w:r>
          </w:p>
        </w:tc>
        <w:tc>
          <w:tcPr>
            <w:tcW w:w="825" w:type="dxa"/>
            <w:tcBorders>
              <w:tl2br w:val="nil"/>
              <w:tr2bl w:val="nil"/>
            </w:tcBorders>
            <w:noWrap w:val="0"/>
            <w:vAlign w:val="center"/>
          </w:tcPr>
          <w:p w14:paraId="6A33B32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食品生产加工小作坊</w:t>
            </w:r>
          </w:p>
        </w:tc>
        <w:tc>
          <w:tcPr>
            <w:tcW w:w="3737" w:type="dxa"/>
            <w:tcBorders>
              <w:tl2br w:val="nil"/>
              <w:tr2bl w:val="nil"/>
            </w:tcBorders>
            <w:noWrap w:val="0"/>
            <w:vAlign w:val="center"/>
          </w:tcPr>
          <w:p w14:paraId="5A101BD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p>
          <w:p w14:paraId="1F65D9C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p>
          <w:p w14:paraId="4B056C8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p>
          <w:p w14:paraId="4D43DA4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p>
          <w:p w14:paraId="65724CF9">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（五）查封违法从事生产经营活动的场所。</w:t>
            </w:r>
          </w:p>
        </w:tc>
        <w:tc>
          <w:tcPr>
            <w:tcW w:w="963" w:type="dxa"/>
            <w:tcBorders>
              <w:tl2br w:val="nil"/>
              <w:tr2bl w:val="nil"/>
            </w:tcBorders>
            <w:noWrap w:val="0"/>
            <w:vAlign w:val="center"/>
          </w:tcPr>
          <w:p w14:paraId="42D1AB6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554E73F4">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每年3月底前报经同级司法行政部门备案审查的涉企年度行政检查计划执行</w:t>
            </w:r>
          </w:p>
        </w:tc>
        <w:tc>
          <w:tcPr>
            <w:tcW w:w="1994" w:type="dxa"/>
            <w:tcBorders>
              <w:tl2br w:val="nil"/>
              <w:tr2bl w:val="nil"/>
            </w:tcBorders>
            <w:noWrap w:val="0"/>
            <w:vAlign w:val="center"/>
          </w:tcPr>
          <w:p w14:paraId="4393B4A1">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7B1F9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0A7E74D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27</w:t>
            </w:r>
          </w:p>
        </w:tc>
        <w:tc>
          <w:tcPr>
            <w:tcW w:w="938" w:type="dxa"/>
            <w:tcBorders>
              <w:tl2br w:val="nil"/>
              <w:tr2bl w:val="nil"/>
            </w:tcBorders>
            <w:noWrap w:val="0"/>
            <w:vAlign w:val="center"/>
          </w:tcPr>
          <w:p w14:paraId="637F8D1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对餐饮服务经营者的食品安全的行政检查</w:t>
            </w:r>
          </w:p>
        </w:tc>
        <w:tc>
          <w:tcPr>
            <w:tcW w:w="1200" w:type="dxa"/>
            <w:tcBorders>
              <w:tl2br w:val="nil"/>
              <w:tr2bl w:val="nil"/>
            </w:tcBorders>
            <w:noWrap w:val="0"/>
            <w:vAlign w:val="center"/>
          </w:tcPr>
          <w:p w14:paraId="46417E7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7500660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77C8388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（省级、市级、县级）</w:t>
            </w:r>
          </w:p>
        </w:tc>
        <w:tc>
          <w:tcPr>
            <w:tcW w:w="3537" w:type="dxa"/>
            <w:tcBorders>
              <w:tl2br w:val="nil"/>
              <w:tr2bl w:val="nil"/>
            </w:tcBorders>
            <w:noWrap w:val="0"/>
            <w:vAlign w:val="center"/>
          </w:tcPr>
          <w:p w14:paraId="11B388F1">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县级以上地方人民政府组织本级食品安全监督管理、农业行政等部门制定本行政区域的食品安全年度监督管理计划，向社会公布并组织实施。</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食品安全年度监督管理计划应当将下列事项作为监督管理的重点：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（三）发生食品安全事故风险较高的食品生产经营者；</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（四）食品安全风险监测结果表明可能存在食品安全隐患的事项。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《中华人民共和国食品安全法》第一百一十条，县级以上人民政府食品安全监督管理部门履行食品安全监督管理职责，有权采取下列措施，对生产经营者遵守本法的情况进行监督检查：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（五）查封违法从事生产经营活动的场所。</w:t>
            </w:r>
          </w:p>
        </w:tc>
        <w:tc>
          <w:tcPr>
            <w:tcW w:w="938" w:type="dxa"/>
            <w:tcBorders>
              <w:tl2br w:val="nil"/>
              <w:tr2bl w:val="nil"/>
            </w:tcBorders>
            <w:noWrap w:val="0"/>
            <w:vAlign w:val="center"/>
          </w:tcPr>
          <w:p w14:paraId="6303F8B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食品餐饮股、执法大队、市监所</w:t>
            </w:r>
          </w:p>
        </w:tc>
        <w:tc>
          <w:tcPr>
            <w:tcW w:w="825" w:type="dxa"/>
            <w:tcBorders>
              <w:tl2br w:val="nil"/>
              <w:tr2bl w:val="nil"/>
            </w:tcBorders>
            <w:noWrap w:val="0"/>
            <w:vAlign w:val="center"/>
          </w:tcPr>
          <w:p w14:paraId="6F9AA43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餐饮服务经营者</w:t>
            </w:r>
          </w:p>
        </w:tc>
        <w:tc>
          <w:tcPr>
            <w:tcW w:w="3737" w:type="dxa"/>
            <w:tcBorders>
              <w:tl2br w:val="nil"/>
              <w:tr2bl w:val="nil"/>
            </w:tcBorders>
            <w:noWrap w:val="0"/>
            <w:vAlign w:val="center"/>
          </w:tcPr>
          <w:p w14:paraId="74732419">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963" w:type="dxa"/>
            <w:tcBorders>
              <w:tl2br w:val="nil"/>
              <w:tr2bl w:val="nil"/>
            </w:tcBorders>
            <w:noWrap w:val="0"/>
            <w:vAlign w:val="center"/>
          </w:tcPr>
          <w:p w14:paraId="08D1D34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现场检查、非现场检查结合</w:t>
            </w:r>
          </w:p>
        </w:tc>
        <w:tc>
          <w:tcPr>
            <w:tcW w:w="1175" w:type="dxa"/>
            <w:tcBorders>
              <w:tl2br w:val="nil"/>
              <w:tr2bl w:val="nil"/>
            </w:tcBorders>
            <w:noWrap w:val="0"/>
            <w:vAlign w:val="center"/>
          </w:tcPr>
          <w:p w14:paraId="4F0DF1E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2591B2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76" w:lineRule="exact"/>
              <w:ind w:left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1.省级市场监督管理部门负责监督指导本行政区域内食品生产经营监督检查工作，重点组织和协调对产品风险高、影响区域广的食品生产经营者的监督检查。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2.设区的市级（以下简称市级）、县级市场监督管理部门负责本行政区域内食品生产经营监督检查工作。</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14:paraId="65C1A2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76"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5.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6.对风险等级为D级的餐饮服务经营者以及中央厨房、集体用餐配送单位等高风险食品经营者可以根据实际情况增加监督检查频次</w:t>
            </w:r>
          </w:p>
        </w:tc>
      </w:tr>
      <w:tr w14:paraId="0E41B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64E5A56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28</w:t>
            </w:r>
          </w:p>
        </w:tc>
        <w:tc>
          <w:tcPr>
            <w:tcW w:w="938" w:type="dxa"/>
            <w:tcBorders>
              <w:tl2br w:val="nil"/>
              <w:tr2bl w:val="nil"/>
            </w:tcBorders>
            <w:noWrap w:val="0"/>
            <w:vAlign w:val="center"/>
          </w:tcPr>
          <w:p w14:paraId="5CC806B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对学校、养老院等食堂、以学生为主要供餐对象的集体用餐配送单位的行政检查</w:t>
            </w:r>
          </w:p>
        </w:tc>
        <w:tc>
          <w:tcPr>
            <w:tcW w:w="1200" w:type="dxa"/>
            <w:tcBorders>
              <w:tl2br w:val="nil"/>
              <w:tr2bl w:val="nil"/>
            </w:tcBorders>
            <w:noWrap w:val="0"/>
            <w:vAlign w:val="center"/>
          </w:tcPr>
          <w:p w14:paraId="6BA5005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103607D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主管部门</w:t>
            </w:r>
          </w:p>
          <w:p w14:paraId="710C189F">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（省级、市级、县级）</w:t>
            </w:r>
          </w:p>
        </w:tc>
        <w:tc>
          <w:tcPr>
            <w:tcW w:w="3537" w:type="dxa"/>
            <w:tcBorders>
              <w:tl2br w:val="nil"/>
              <w:tr2bl w:val="nil"/>
            </w:tcBorders>
            <w:noWrap w:val="0"/>
            <w:vAlign w:val="center"/>
          </w:tcPr>
          <w:p w14:paraId="408C1D6C">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县级以上地方人民政府组织本级食品安全监督管理、农业行政等部门制定本行政区域的食品安全年度监督管理计划，向社会公布并组织实施。</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食品安全年度监督管理计划应当将下列事项作为监督管理的重点：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（三）发生食品安全事故风险较高的食品生产经营者；</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（四）食品安全风险监测结果表明可能存在食品安全隐患的事项。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《中华人民共和国食品安全法》第一百一十条，县级以上人民政府食品安全监督管理部门履行食品安全监督管理职责，有权采取下列措施，对生产经营者遵守本法的情况进行监督检查：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（五）查封违法从事生产经营活动的场所。</w:t>
            </w:r>
          </w:p>
        </w:tc>
        <w:tc>
          <w:tcPr>
            <w:tcW w:w="938" w:type="dxa"/>
            <w:tcBorders>
              <w:tl2br w:val="nil"/>
              <w:tr2bl w:val="nil"/>
            </w:tcBorders>
            <w:noWrap w:val="0"/>
            <w:vAlign w:val="center"/>
          </w:tcPr>
          <w:p w14:paraId="26F7CF4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食品餐饮股、执法大队、市监所</w:t>
            </w:r>
          </w:p>
        </w:tc>
        <w:tc>
          <w:tcPr>
            <w:tcW w:w="825" w:type="dxa"/>
            <w:tcBorders>
              <w:tl2br w:val="nil"/>
              <w:tr2bl w:val="nil"/>
            </w:tcBorders>
            <w:noWrap w:val="0"/>
            <w:vAlign w:val="center"/>
          </w:tcPr>
          <w:p w14:paraId="7C27724F">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单位食堂、学生集体用餐配送单位（即校外供餐单位）</w:t>
            </w:r>
          </w:p>
        </w:tc>
        <w:tc>
          <w:tcPr>
            <w:tcW w:w="3737" w:type="dxa"/>
            <w:tcBorders>
              <w:tl2br w:val="nil"/>
              <w:tr2bl w:val="nil"/>
            </w:tcBorders>
            <w:noWrap w:val="0"/>
            <w:vAlign w:val="center"/>
          </w:tcPr>
          <w:p w14:paraId="459C8CBF">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963" w:type="dxa"/>
            <w:tcBorders>
              <w:tl2br w:val="nil"/>
              <w:tr2bl w:val="nil"/>
            </w:tcBorders>
            <w:noWrap w:val="0"/>
            <w:vAlign w:val="center"/>
          </w:tcPr>
          <w:p w14:paraId="20A969D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现场检查、非现场检查结合</w:t>
            </w:r>
          </w:p>
        </w:tc>
        <w:tc>
          <w:tcPr>
            <w:tcW w:w="1175" w:type="dxa"/>
            <w:tcBorders>
              <w:tl2br w:val="nil"/>
              <w:tr2bl w:val="nil"/>
            </w:tcBorders>
            <w:noWrap w:val="0"/>
            <w:vAlign w:val="center"/>
          </w:tcPr>
          <w:p w14:paraId="3CBF750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0CF76C9C">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省级市场监督管理部门负责监督指导本行政区域内食品生产经营监督检查工作，重点组织和协调对产品风险高、影响区域广的食品生产经营者的监督检查。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2.设区的市级（以下简称市级）、县级市场监督管理部门负责本行政区域内食品生产经营监督检查工作。</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14:paraId="40EA3A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5.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6.对学校食堂、校外供餐单位等风险等级为D级的餐饮服务经营者可以根据实际情况增加监督检查频次</w:t>
            </w:r>
          </w:p>
        </w:tc>
      </w:tr>
      <w:tr w14:paraId="14138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52" w:hRule="atLeast"/>
          <w:jc w:val="center"/>
        </w:trPr>
        <w:tc>
          <w:tcPr>
            <w:tcW w:w="546" w:type="dxa"/>
            <w:tcBorders>
              <w:tl2br w:val="nil"/>
              <w:tr2bl w:val="nil"/>
            </w:tcBorders>
            <w:noWrap w:val="0"/>
            <w:vAlign w:val="center"/>
          </w:tcPr>
          <w:p w14:paraId="6D16606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29</w:t>
            </w:r>
          </w:p>
        </w:tc>
        <w:tc>
          <w:tcPr>
            <w:tcW w:w="938" w:type="dxa"/>
            <w:tcBorders>
              <w:tl2br w:val="nil"/>
              <w:tr2bl w:val="nil"/>
            </w:tcBorders>
            <w:noWrap w:val="0"/>
            <w:vAlign w:val="center"/>
          </w:tcPr>
          <w:p w14:paraId="2A8509A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对小餐饮的食品安全行政检查</w:t>
            </w:r>
          </w:p>
        </w:tc>
        <w:tc>
          <w:tcPr>
            <w:tcW w:w="1200" w:type="dxa"/>
            <w:tcBorders>
              <w:tl2br w:val="nil"/>
              <w:tr2bl w:val="nil"/>
            </w:tcBorders>
            <w:noWrap w:val="0"/>
            <w:vAlign w:val="center"/>
          </w:tcPr>
          <w:p w14:paraId="11C13328">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514A2F7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7437C35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（省级、市级和县级）</w:t>
            </w:r>
          </w:p>
        </w:tc>
        <w:tc>
          <w:tcPr>
            <w:tcW w:w="3537" w:type="dxa"/>
            <w:tcBorders>
              <w:tl2br w:val="nil"/>
              <w:tr2bl w:val="nil"/>
            </w:tcBorders>
            <w:noWrap w:val="0"/>
            <w:vAlign w:val="center"/>
          </w:tcPr>
          <w:p w14:paraId="01966226">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《湖南省食品生产加工小作坊小餐饮和食品摊贩管理条例》第二十八条 县级以上人民政府应当组织市场监督管理等有关部门制定小作坊、小餐饮和食品摊贩的食品安全监督管理计划，对存在的区域性、普遍性食品安全问题组织专项检查，开展综合治理。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乡镇人民政府、街道办事处应当开展小作坊、小餐饮和食品摊贩食品安全隐患排查。村（居）民委员会确定的食品安全协管员协助开展安全隐患排查和信息报告等工作。</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第二十九条 县级以上人民政府市场监督管理等有关部门应当建立健全小作坊、小餐饮和食品摊贩的监督检查制度，通过日常巡查、定期检查和抽样检验等方式加强日常监督检查。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938" w:type="dxa"/>
            <w:tcBorders>
              <w:tl2br w:val="nil"/>
              <w:tr2bl w:val="nil"/>
            </w:tcBorders>
            <w:noWrap w:val="0"/>
            <w:vAlign w:val="center"/>
          </w:tcPr>
          <w:p w14:paraId="6171F119">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食品餐饮股、执法大队、市监所</w:t>
            </w:r>
          </w:p>
        </w:tc>
        <w:tc>
          <w:tcPr>
            <w:tcW w:w="825" w:type="dxa"/>
            <w:tcBorders>
              <w:tl2br w:val="nil"/>
              <w:tr2bl w:val="nil"/>
            </w:tcBorders>
            <w:noWrap w:val="0"/>
            <w:vAlign w:val="center"/>
          </w:tcPr>
          <w:p w14:paraId="5D572B2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小餐饮经营者</w:t>
            </w:r>
          </w:p>
        </w:tc>
        <w:tc>
          <w:tcPr>
            <w:tcW w:w="3737" w:type="dxa"/>
            <w:tcBorders>
              <w:tl2br w:val="nil"/>
              <w:tr2bl w:val="nil"/>
            </w:tcBorders>
            <w:noWrap w:val="0"/>
            <w:vAlign w:val="center"/>
          </w:tcPr>
          <w:p w14:paraId="45B10F51">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执行食品安全法律、法规、规章和食品安全标准等情况</w:t>
            </w:r>
          </w:p>
        </w:tc>
        <w:tc>
          <w:tcPr>
            <w:tcW w:w="963" w:type="dxa"/>
            <w:tcBorders>
              <w:tl2br w:val="nil"/>
              <w:tr2bl w:val="nil"/>
            </w:tcBorders>
            <w:noWrap w:val="0"/>
            <w:vAlign w:val="center"/>
          </w:tcPr>
          <w:p w14:paraId="061F0C62">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现场检查、非现场检查结合</w:t>
            </w:r>
          </w:p>
        </w:tc>
        <w:tc>
          <w:tcPr>
            <w:tcW w:w="1175" w:type="dxa"/>
            <w:tcBorders>
              <w:tl2br w:val="nil"/>
              <w:tr2bl w:val="nil"/>
            </w:tcBorders>
            <w:noWrap w:val="0"/>
            <w:vAlign w:val="center"/>
          </w:tcPr>
          <w:p w14:paraId="4AEA74AB">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3549FAC5">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对小餐饮的食品安全行政检查</w:t>
            </w:r>
          </w:p>
          <w:p w14:paraId="467BC77B">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每年度开展不少于2次的监督检查</w:t>
            </w:r>
          </w:p>
        </w:tc>
      </w:tr>
      <w:tr w14:paraId="69B38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237BF50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30</w:t>
            </w:r>
          </w:p>
        </w:tc>
        <w:tc>
          <w:tcPr>
            <w:tcW w:w="938" w:type="dxa"/>
            <w:tcBorders>
              <w:tl2br w:val="nil"/>
              <w:tr2bl w:val="nil"/>
            </w:tcBorders>
            <w:noWrap w:val="0"/>
            <w:vAlign w:val="center"/>
          </w:tcPr>
          <w:p w14:paraId="223EEEE9">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对食品销售经营者的食品安全行政检查</w:t>
            </w:r>
          </w:p>
        </w:tc>
        <w:tc>
          <w:tcPr>
            <w:tcW w:w="1200" w:type="dxa"/>
            <w:tcBorders>
              <w:tl2br w:val="nil"/>
              <w:tr2bl w:val="nil"/>
            </w:tcBorders>
            <w:noWrap w:val="0"/>
            <w:vAlign w:val="center"/>
          </w:tcPr>
          <w:p w14:paraId="1B8A04F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2EFC36A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42050B8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（省级、市级、县级）</w:t>
            </w:r>
          </w:p>
        </w:tc>
        <w:tc>
          <w:tcPr>
            <w:tcW w:w="3537" w:type="dxa"/>
            <w:tcBorders>
              <w:tl2br w:val="nil"/>
              <w:tr2bl w:val="nil"/>
            </w:tcBorders>
            <w:noWrap w:val="0"/>
            <w:vAlign w:val="center"/>
          </w:tcPr>
          <w:p w14:paraId="0E9E8AAE">
            <w:pPr>
              <w:keepNext w:val="0"/>
              <w:keepLines w:val="0"/>
              <w:pageBreakBefore w:val="0"/>
              <w:widowControl w:val="0"/>
              <w:suppressLineNumbers w:val="0"/>
              <w:kinsoku/>
              <w:wordWrap/>
              <w:overflowPunct/>
              <w:topLinePunct w:val="0"/>
              <w:autoSpaceDE/>
              <w:autoSpaceDN/>
              <w:bidi w:val="0"/>
              <w:adjustRightInd/>
              <w:snapToGrid/>
              <w:spacing w:line="23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一、《中华人民共和国食品安全法》第一百零九条第一款、第二款、第三款第（三）（四）项。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县级以上人民政府食品安全监督管理部门根据食品安全风险监测、风险评估结果和食品安全状况等，确定监督管理的重点、方式和频次，实施风险分级管理。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县级以上地方人民政府组织本级食品安全监督管理、农业行政等部门制定本行政区域的食品安全年度监督管理计划，向社会公布并组织实施。</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食品安全年度监督管理计划应当将下列事项作为监督管理的重点：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（三）发生食品安全事故风险较高的食品生产经营者；</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（四）食品安全风险监测结果表明可能存在食品安全隐患的事项。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二、《中华人民共和国食品安全法》第一百一十条，县级以上人民政府食品安全监督管理部门履行食品安全监督管理职责，有权采取下列措施，对生产经营者遵守本法的情况进行监督检查：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（五）查封违法从事生产经营活动的场所。</w:t>
            </w:r>
          </w:p>
        </w:tc>
        <w:tc>
          <w:tcPr>
            <w:tcW w:w="938" w:type="dxa"/>
            <w:tcBorders>
              <w:tl2br w:val="nil"/>
              <w:tr2bl w:val="nil"/>
            </w:tcBorders>
            <w:noWrap w:val="0"/>
            <w:vAlign w:val="center"/>
          </w:tcPr>
          <w:p w14:paraId="4F65BB2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食品流通股、执法大队、市监所</w:t>
            </w:r>
          </w:p>
        </w:tc>
        <w:tc>
          <w:tcPr>
            <w:tcW w:w="825" w:type="dxa"/>
            <w:tcBorders>
              <w:tl2br w:val="nil"/>
              <w:tr2bl w:val="nil"/>
            </w:tcBorders>
            <w:noWrap w:val="0"/>
            <w:vAlign w:val="center"/>
          </w:tcPr>
          <w:p w14:paraId="597378B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食品销售经营者</w:t>
            </w:r>
          </w:p>
        </w:tc>
        <w:tc>
          <w:tcPr>
            <w:tcW w:w="3737" w:type="dxa"/>
            <w:tcBorders>
              <w:tl2br w:val="nil"/>
              <w:tr2bl w:val="nil"/>
            </w:tcBorders>
            <w:noWrap w:val="0"/>
            <w:vAlign w:val="center"/>
          </w:tcPr>
          <w:p w14:paraId="3B5F7209">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销售经营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执行食品安全法律、法规、规章和食品安全标准等情况</w:t>
            </w:r>
          </w:p>
        </w:tc>
        <w:tc>
          <w:tcPr>
            <w:tcW w:w="963" w:type="dxa"/>
            <w:tcBorders>
              <w:tl2br w:val="nil"/>
              <w:tr2bl w:val="nil"/>
            </w:tcBorders>
            <w:noWrap w:val="0"/>
            <w:vAlign w:val="center"/>
          </w:tcPr>
          <w:p w14:paraId="203FA68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现场检查、非现场检查结合</w:t>
            </w:r>
          </w:p>
        </w:tc>
        <w:tc>
          <w:tcPr>
            <w:tcW w:w="1175" w:type="dxa"/>
            <w:tcBorders>
              <w:tl2br w:val="nil"/>
              <w:tr2bl w:val="nil"/>
            </w:tcBorders>
            <w:noWrap w:val="0"/>
            <w:vAlign w:val="center"/>
          </w:tcPr>
          <w:p w14:paraId="5906816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254B4053">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1.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2.对风险等级为D级的食品销售经营者实施重点监督检查，并可以根据实际情况增加监督检查频次。</w:t>
            </w:r>
          </w:p>
        </w:tc>
      </w:tr>
      <w:tr w14:paraId="76FE4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74E68BB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31</w:t>
            </w:r>
          </w:p>
        </w:tc>
        <w:tc>
          <w:tcPr>
            <w:tcW w:w="938" w:type="dxa"/>
            <w:tcBorders>
              <w:tl2br w:val="nil"/>
              <w:tr2bl w:val="nil"/>
            </w:tcBorders>
            <w:noWrap w:val="0"/>
            <w:vAlign w:val="center"/>
          </w:tcPr>
          <w:p w14:paraId="2205348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对市场销售食用农产品经营者的质量安全行政检查</w:t>
            </w:r>
          </w:p>
        </w:tc>
        <w:tc>
          <w:tcPr>
            <w:tcW w:w="1200" w:type="dxa"/>
            <w:tcBorders>
              <w:tl2br w:val="nil"/>
              <w:tr2bl w:val="nil"/>
            </w:tcBorders>
            <w:noWrap w:val="0"/>
            <w:vAlign w:val="center"/>
          </w:tcPr>
          <w:p w14:paraId="50B8F52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06001E0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62DAB4C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（省级、市级、县级）</w:t>
            </w:r>
          </w:p>
        </w:tc>
        <w:tc>
          <w:tcPr>
            <w:tcW w:w="3537" w:type="dxa"/>
            <w:tcBorders>
              <w:tl2br w:val="nil"/>
              <w:tr2bl w:val="nil"/>
            </w:tcBorders>
            <w:noWrap w:val="0"/>
            <w:vAlign w:val="center"/>
          </w:tcPr>
          <w:p w14:paraId="0F429CD9">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一、《中华人民共和国食品安全法》第一百零九条第一款、第二款、第三款第（三）（四）项。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县级以上人民政府食品安全监督管理部门根据食品安全风险监测、风险评估结果和食品安全状况等，确定监督管理的重点、方式和频次，实施风险分级管理。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县级以上地方人民政府组织本级食品安全监督管理、农业行政等部门制定本行政区域的食品安全年度监督管理计划，向社会公布并组织实施。</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食品安全年度监督管理计划应当将下列事项作为监督管理的重点：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（三）发生食品安全事故风险较高的食品生产经营者；</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（四）食品安全风险监测结果表明可能存在食品安全隐患的事项。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（五）查封违法从事生产经营活动的场所。</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三、《食用农产品市场销售质量安全监督管理办法》第二十九条第一款第（一）、（二）、（三）（六）（七）（八）项、第二款。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县级以上市场监督管理部门按照本行政区域食品安全年度监督管理计划，对集中交易市场开办者、销售者及其委托的贮存服务提供者遵守本办法情况进行日常监督检查：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（一）对食用农产品销售、贮存等场所、设施、设备，以及信息公示情况等进行现场检查；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（二）向当事人和其他有关人员调查了解与食用农产品销售活动和质量安全有关的情况；</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（三）检查食用农产品进货查验记录制度落实情况，查阅、复制与食用农产品质量安全有关的记录、协议、发票以及其他资料；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（六）对食用农产品进行抽样，送有资质的食品检验机构进行检验；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（七）对有证据证明不符合食品安全标准或者有证据证明存在质量安全隐患以及用于违法生产经营的食用农产品，有权查封、扣押、监督销毁；</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（八）依法查封违法从事食用农产品销售活动的场所。</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集中交易市场开办者、销售者及其委托的贮存服务提供者对市场监督管理部门依法实施的监督检查应当予以配合，不得拒绝、阻挠、干涉。</w:t>
            </w:r>
          </w:p>
        </w:tc>
        <w:tc>
          <w:tcPr>
            <w:tcW w:w="938" w:type="dxa"/>
            <w:tcBorders>
              <w:tl2br w:val="nil"/>
              <w:tr2bl w:val="nil"/>
            </w:tcBorders>
            <w:noWrap w:val="0"/>
            <w:vAlign w:val="center"/>
          </w:tcPr>
          <w:p w14:paraId="393F1A4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食品流通股、执法大队、市监所</w:t>
            </w:r>
          </w:p>
        </w:tc>
        <w:tc>
          <w:tcPr>
            <w:tcW w:w="825" w:type="dxa"/>
            <w:tcBorders>
              <w:tl2br w:val="nil"/>
              <w:tr2bl w:val="nil"/>
            </w:tcBorders>
            <w:noWrap w:val="0"/>
            <w:vAlign w:val="center"/>
          </w:tcPr>
          <w:p w14:paraId="7FEC3F00">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市场销售食用农产品经营者</w:t>
            </w:r>
          </w:p>
        </w:tc>
        <w:tc>
          <w:tcPr>
            <w:tcW w:w="3737" w:type="dxa"/>
            <w:tcBorders>
              <w:tl2br w:val="nil"/>
              <w:tr2bl w:val="nil"/>
            </w:tcBorders>
            <w:noWrap w:val="0"/>
            <w:vAlign w:val="center"/>
          </w:tcPr>
          <w:p w14:paraId="67693394">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用农产品销售者一般规定执行、禁止性规定执行、经营场所环境卫生、经营过程控制、进货查验、食用农产品贮存、食用农产品召回、温度控制及记录、不符合食品安全标准食品处置、食品安全自查、从业人员管理、食品安全事故处置、网络食用农产品销售等执行食品安全法律、法规、规章和食品安全标准等情况</w:t>
            </w:r>
          </w:p>
        </w:tc>
        <w:tc>
          <w:tcPr>
            <w:tcW w:w="963" w:type="dxa"/>
            <w:tcBorders>
              <w:tl2br w:val="nil"/>
              <w:tr2bl w:val="nil"/>
            </w:tcBorders>
            <w:noWrap w:val="0"/>
            <w:vAlign w:val="center"/>
          </w:tcPr>
          <w:p w14:paraId="00F32EC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现场检查、非现场检查结合</w:t>
            </w:r>
          </w:p>
        </w:tc>
        <w:tc>
          <w:tcPr>
            <w:tcW w:w="1175" w:type="dxa"/>
            <w:tcBorders>
              <w:tl2br w:val="nil"/>
              <w:tr2bl w:val="nil"/>
            </w:tcBorders>
            <w:noWrap w:val="0"/>
            <w:vAlign w:val="center"/>
          </w:tcPr>
          <w:p w14:paraId="1F7BC79E">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79ED830F">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每年度开展不少于2次的监督检查</w:t>
            </w:r>
          </w:p>
        </w:tc>
      </w:tr>
      <w:tr w14:paraId="28066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261FA069">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32</w:t>
            </w:r>
          </w:p>
        </w:tc>
        <w:tc>
          <w:tcPr>
            <w:tcW w:w="938" w:type="dxa"/>
            <w:tcBorders>
              <w:tl2br w:val="nil"/>
              <w:tr2bl w:val="nil"/>
            </w:tcBorders>
            <w:noWrap w:val="0"/>
            <w:vAlign w:val="center"/>
          </w:tcPr>
          <w:p w14:paraId="5E3005D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对食用农产品集中交易市场开办者的行政检查</w:t>
            </w:r>
          </w:p>
        </w:tc>
        <w:tc>
          <w:tcPr>
            <w:tcW w:w="1200" w:type="dxa"/>
            <w:tcBorders>
              <w:tl2br w:val="nil"/>
              <w:tr2bl w:val="nil"/>
            </w:tcBorders>
            <w:noWrap w:val="0"/>
            <w:vAlign w:val="center"/>
          </w:tcPr>
          <w:p w14:paraId="67EC0AFD">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市场监管</w:t>
            </w:r>
          </w:p>
          <w:p w14:paraId="1A4E904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3C1A60F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（省级、市级、县级）</w:t>
            </w:r>
          </w:p>
        </w:tc>
        <w:tc>
          <w:tcPr>
            <w:tcW w:w="3537" w:type="dxa"/>
            <w:tcBorders>
              <w:tl2br w:val="nil"/>
              <w:tr2bl w:val="nil"/>
            </w:tcBorders>
            <w:noWrap w:val="0"/>
            <w:vAlign w:val="center"/>
          </w:tcPr>
          <w:p w14:paraId="4B943DEC">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一、《中华人民共和国食品安全法》第一百零九条第一款、第二款、第三款第（三）（四）项。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县级以上人民政府食品安全监督管理部门根据食品安全风险监测、风险评估结果和食品安全状况等，确定监督管理的重点、方式和频次，实施风险分级管理。</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县级以上地方人民政府组织本级食品安全监督管理、农业行政等部门制定本行政区域的食品安全年度监督管理计划，向社会公布并组织实施。</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食品安全年度监督管理计划应当将下列事项作为监督管理的重点：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（三）发生食品安全事故风险较高的食品生产经营者；</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（四）食品安全风险监测结果表明可能存在食品安全隐患的事项。</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（一）进入生产经营场所实施现场检查；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（四）查封、扣押有证据证明不符合食品安全标准或者有证据证明存在安全隐患以及用于违法生产经营的食品、食品添加剂、食品相关产品；</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（五）查封违法从事生产经营活动的场所。</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三、《食用农产品市场销售质量安全监督管理办法》第二十九条第一款第（一）、（二）、（三）（四）（五）（八）项、第二款。</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县级以上市场监督管理部门按照本行政区域食品安全年度监督管理计划，对集中交易市场开办者、销售者及其委托的贮存服务提供者遵守本办法情况进行日常监督检查：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（一）对食用农产品销售、贮存等场所、设施、设备，以及信息公示情况等进行现场检查；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（二）向当事人和其他有关人员调查了解与食用农产品销售活动和质量安全有关的情况；</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（三）检查食用农产品进货查验记录制度落实情况，查阅、复制与食用农产品质量安全有关的记录、协议、发票以及其他资料；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（四）检查集中交易市场抽样检验情况；</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（五）对集中交易市场的食品安全总监、食品安全员随机进行监督抽查考核并公布考核结果；</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（八）依法查封违法从事食用农产品销售活动的场所。</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集中交易市场开办者、销售者及其委托的贮存服务提供者对市场监督管理部门依法实施的监督检查应当予以配合，不得拒绝、阻挠、干涉。</w:t>
            </w:r>
          </w:p>
          <w:p w14:paraId="38F6CC5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c>
          <w:tcPr>
            <w:tcW w:w="938" w:type="dxa"/>
            <w:tcBorders>
              <w:tl2br w:val="nil"/>
              <w:tr2bl w:val="nil"/>
            </w:tcBorders>
            <w:noWrap w:val="0"/>
            <w:vAlign w:val="center"/>
          </w:tcPr>
          <w:p w14:paraId="107EED13">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食品流通股、执法大队、市监所</w:t>
            </w:r>
          </w:p>
        </w:tc>
        <w:tc>
          <w:tcPr>
            <w:tcW w:w="825" w:type="dxa"/>
            <w:tcBorders>
              <w:tl2br w:val="nil"/>
              <w:tr2bl w:val="nil"/>
            </w:tcBorders>
            <w:noWrap w:val="0"/>
            <w:vAlign w:val="center"/>
          </w:tcPr>
          <w:p w14:paraId="0229AD0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食用农产品集中交易市场开办者</w:t>
            </w:r>
          </w:p>
        </w:tc>
        <w:tc>
          <w:tcPr>
            <w:tcW w:w="3737" w:type="dxa"/>
            <w:tcBorders>
              <w:tl2br w:val="nil"/>
              <w:tr2bl w:val="nil"/>
            </w:tcBorders>
            <w:noWrap w:val="0"/>
            <w:vAlign w:val="center"/>
          </w:tcPr>
          <w:p w14:paraId="134FA1AF">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用农产品集中交易市场开办者举办前报告、建立健全食品安全管理制度、履行入场销售者登记建档、签订协议、入场查验、场内检查、信息公示、食品安全违法行为制止及报告、食品安全事故处置、投诉举报处置等执行食品安全法律、法规、规章和食品安全标准等情况，食用农产品批发市场开办者履行抽样检验、统一销售凭证格式以及监督入场销售者开具销售凭证等情况。</w:t>
            </w:r>
          </w:p>
        </w:tc>
        <w:tc>
          <w:tcPr>
            <w:tcW w:w="963" w:type="dxa"/>
            <w:tcBorders>
              <w:tl2br w:val="nil"/>
              <w:tr2bl w:val="nil"/>
            </w:tcBorders>
            <w:noWrap w:val="0"/>
            <w:vAlign w:val="center"/>
          </w:tcPr>
          <w:p w14:paraId="2A158D9D">
            <w:pPr>
              <w:keepNext w:val="0"/>
              <w:keepLines w:val="0"/>
              <w:pageBreakBefore w:val="0"/>
              <w:widowControl w:val="0"/>
              <w:kinsoku/>
              <w:wordWrap/>
              <w:overflowPunct/>
              <w:topLinePunct w:val="0"/>
              <w:bidi w:val="0"/>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6EDC722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735C45F0">
            <w:pPr>
              <w:keepNext w:val="0"/>
              <w:keepLines w:val="0"/>
              <w:pageBreakBefore w:val="0"/>
              <w:widowControl w:val="0"/>
              <w:kinsoku/>
              <w:wordWrap/>
              <w:overflowPunct/>
              <w:topLinePunct w:val="0"/>
              <w:bidi w:val="0"/>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根据食品安全风险分级结果，对风险等级为A级风险的食用农产品开办者，原则上每年至少监督检查1次；对风险等级为B级风险的食用农产品开办者，原则上每年至少监督检查1—2次；对风险等级为C级风险的食用农产品开办者，原则上每年至少监督检查2—3次；对风险等级为D级风险的食用农产品开办者，原则上每年至少监督检查3—4次。</w:t>
            </w:r>
          </w:p>
        </w:tc>
      </w:tr>
      <w:tr w14:paraId="2B2AF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0B2207F9">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33</w:t>
            </w:r>
          </w:p>
        </w:tc>
        <w:tc>
          <w:tcPr>
            <w:tcW w:w="938" w:type="dxa"/>
            <w:tcBorders>
              <w:tl2br w:val="nil"/>
              <w:tr2bl w:val="nil"/>
            </w:tcBorders>
            <w:noWrap w:val="0"/>
            <w:vAlign w:val="center"/>
          </w:tcPr>
          <w:p w14:paraId="3DD56F37">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对特殊食品生产单位的监督检查</w:t>
            </w:r>
          </w:p>
        </w:tc>
        <w:tc>
          <w:tcPr>
            <w:tcW w:w="1200" w:type="dxa"/>
            <w:tcBorders>
              <w:tl2br w:val="nil"/>
              <w:tr2bl w:val="nil"/>
            </w:tcBorders>
            <w:noWrap w:val="0"/>
            <w:vAlign w:val="center"/>
          </w:tcPr>
          <w:p w14:paraId="69A24E0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tc>
        <w:tc>
          <w:tcPr>
            <w:tcW w:w="3537" w:type="dxa"/>
            <w:tcBorders>
              <w:tl2br w:val="nil"/>
              <w:tr2bl w:val="nil"/>
            </w:tcBorders>
            <w:noWrap w:val="0"/>
            <w:vAlign w:val="center"/>
          </w:tcPr>
          <w:p w14:paraId="566F363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一）进入生产经营场所实施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【行政法规】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938" w:type="dxa"/>
            <w:tcBorders>
              <w:tl2br w:val="nil"/>
              <w:tr2bl w:val="nil"/>
            </w:tcBorders>
            <w:noWrap w:val="0"/>
            <w:vAlign w:val="center"/>
          </w:tcPr>
          <w:p w14:paraId="7F377B8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特殊食品股、执法大队、市监所</w:t>
            </w:r>
          </w:p>
        </w:tc>
        <w:tc>
          <w:tcPr>
            <w:tcW w:w="825" w:type="dxa"/>
            <w:tcBorders>
              <w:tl2br w:val="nil"/>
              <w:tr2bl w:val="nil"/>
            </w:tcBorders>
            <w:noWrap w:val="0"/>
            <w:vAlign w:val="center"/>
          </w:tcPr>
          <w:p w14:paraId="28ED2F2A">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特殊</w:t>
            </w:r>
          </w:p>
          <w:p w14:paraId="6967812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w:t>
            </w:r>
          </w:p>
          <w:p w14:paraId="6C977320">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生产</w:t>
            </w:r>
          </w:p>
          <w:p w14:paraId="3CFE0E7D">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单位</w:t>
            </w:r>
          </w:p>
        </w:tc>
        <w:tc>
          <w:tcPr>
            <w:tcW w:w="3737" w:type="dxa"/>
            <w:tcBorders>
              <w:tl2br w:val="nil"/>
              <w:tr2bl w:val="nil"/>
            </w:tcBorders>
            <w:noWrap w:val="0"/>
            <w:vAlign w:val="center"/>
          </w:tcPr>
          <w:p w14:paraId="23167094">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品生产经营监督检查管理办法》第十五条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八条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tc>
        <w:tc>
          <w:tcPr>
            <w:tcW w:w="963" w:type="dxa"/>
            <w:tcBorders>
              <w:tl2br w:val="nil"/>
              <w:tr2bl w:val="nil"/>
            </w:tcBorders>
            <w:noWrap w:val="0"/>
            <w:vAlign w:val="center"/>
          </w:tcPr>
          <w:p w14:paraId="6D4F6AA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w:t>
            </w:r>
          </w:p>
        </w:tc>
        <w:tc>
          <w:tcPr>
            <w:tcW w:w="1175" w:type="dxa"/>
            <w:tcBorders>
              <w:tl2br w:val="nil"/>
              <w:tr2bl w:val="nil"/>
            </w:tcBorders>
            <w:noWrap w:val="0"/>
            <w:vAlign w:val="center"/>
          </w:tcPr>
          <w:p w14:paraId="115B6AED">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370BE0E0">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09780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0C0E702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34</w:t>
            </w:r>
          </w:p>
        </w:tc>
        <w:tc>
          <w:tcPr>
            <w:tcW w:w="938" w:type="dxa"/>
            <w:tcBorders>
              <w:tl2br w:val="nil"/>
              <w:tr2bl w:val="nil"/>
            </w:tcBorders>
            <w:noWrap w:val="0"/>
            <w:vAlign w:val="center"/>
          </w:tcPr>
          <w:p w14:paraId="7368E554">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对特殊食品经营单位的监督检查</w:t>
            </w:r>
          </w:p>
        </w:tc>
        <w:tc>
          <w:tcPr>
            <w:tcW w:w="1200" w:type="dxa"/>
            <w:tcBorders>
              <w:tl2br w:val="nil"/>
              <w:tr2bl w:val="nil"/>
            </w:tcBorders>
            <w:noWrap w:val="0"/>
            <w:vAlign w:val="center"/>
          </w:tcPr>
          <w:p w14:paraId="39EA7527">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部门</w:t>
            </w:r>
          </w:p>
          <w:p w14:paraId="616EEC3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（县级以上）</w:t>
            </w:r>
          </w:p>
        </w:tc>
        <w:tc>
          <w:tcPr>
            <w:tcW w:w="3537" w:type="dxa"/>
            <w:tcBorders>
              <w:tl2br w:val="nil"/>
              <w:tr2bl w:val="nil"/>
            </w:tcBorders>
            <w:noWrap w:val="0"/>
            <w:vAlign w:val="center"/>
          </w:tcPr>
          <w:p w14:paraId="5F98852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一）进入生产经营场所实施现场检查；</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（二）对生产经营的食品、食品添加剂、食品相关产品进行抽样检验；</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（三）查阅、复制有关合同、票据、账簿以及其他有关资料；</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【行政法规】</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938" w:type="dxa"/>
            <w:tcBorders>
              <w:tl2br w:val="nil"/>
              <w:tr2bl w:val="nil"/>
            </w:tcBorders>
            <w:noWrap w:val="0"/>
            <w:vAlign w:val="center"/>
          </w:tcPr>
          <w:p w14:paraId="2C49F3AC">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特殊食品股、执法大队、市监所</w:t>
            </w:r>
          </w:p>
        </w:tc>
        <w:tc>
          <w:tcPr>
            <w:tcW w:w="825" w:type="dxa"/>
            <w:tcBorders>
              <w:tl2br w:val="nil"/>
              <w:tr2bl w:val="nil"/>
            </w:tcBorders>
            <w:noWrap w:val="0"/>
            <w:vAlign w:val="center"/>
          </w:tcPr>
          <w:p w14:paraId="7B3272B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特殊食品</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经营单位</w:t>
            </w:r>
          </w:p>
        </w:tc>
        <w:tc>
          <w:tcPr>
            <w:tcW w:w="3737" w:type="dxa"/>
            <w:tcBorders>
              <w:tl2br w:val="nil"/>
              <w:tr2bl w:val="nil"/>
            </w:tcBorders>
            <w:noWrap w:val="0"/>
            <w:vAlign w:val="center"/>
          </w:tcPr>
          <w:p w14:paraId="45A6565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第十八条第二款特殊食品销售环节监督检查要点，除应当包括本办法第十七条规定的内容，还应当包括禁止混放要求落实、标签和说明书核对等情况。</w:t>
            </w:r>
          </w:p>
        </w:tc>
        <w:tc>
          <w:tcPr>
            <w:tcW w:w="963" w:type="dxa"/>
            <w:tcBorders>
              <w:tl2br w:val="nil"/>
              <w:tr2bl w:val="nil"/>
            </w:tcBorders>
            <w:noWrap w:val="0"/>
            <w:vAlign w:val="center"/>
          </w:tcPr>
          <w:p w14:paraId="71328A0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w:t>
            </w:r>
          </w:p>
        </w:tc>
        <w:tc>
          <w:tcPr>
            <w:tcW w:w="1175" w:type="dxa"/>
            <w:tcBorders>
              <w:tl2br w:val="nil"/>
              <w:tr2bl w:val="nil"/>
            </w:tcBorders>
            <w:noWrap w:val="0"/>
            <w:vAlign w:val="center"/>
          </w:tcPr>
          <w:p w14:paraId="77B616D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7BABE2A6">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63D85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7F32917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35</w:t>
            </w:r>
          </w:p>
        </w:tc>
        <w:tc>
          <w:tcPr>
            <w:tcW w:w="938" w:type="dxa"/>
            <w:tcBorders>
              <w:tl2br w:val="nil"/>
              <w:tr2bl w:val="nil"/>
            </w:tcBorders>
            <w:noWrap w:val="0"/>
            <w:vAlign w:val="center"/>
          </w:tcPr>
          <w:p w14:paraId="598B4DB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对食盐生产、经营的监督检查</w:t>
            </w:r>
          </w:p>
        </w:tc>
        <w:tc>
          <w:tcPr>
            <w:tcW w:w="1200" w:type="dxa"/>
            <w:tcBorders>
              <w:tl2br w:val="nil"/>
              <w:tr2bl w:val="nil"/>
            </w:tcBorders>
            <w:noWrap w:val="0"/>
            <w:vAlign w:val="center"/>
          </w:tcPr>
          <w:p w14:paraId="0DF439E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p>
          <w:p w14:paraId="54445AC8">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管理部门</w:t>
            </w:r>
          </w:p>
          <w:p w14:paraId="4F0B490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（省级、设区的市级或县级）</w:t>
            </w:r>
          </w:p>
        </w:tc>
        <w:tc>
          <w:tcPr>
            <w:tcW w:w="3537" w:type="dxa"/>
            <w:tcBorders>
              <w:tl2br w:val="nil"/>
              <w:tr2bl w:val="nil"/>
            </w:tcBorders>
            <w:noWrap w:val="0"/>
            <w:vAlign w:val="center"/>
          </w:tcPr>
          <w:p w14:paraId="42FE09E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"1.《食盐专营办法》（2017修订）第四条：国务院盐业主管部门主管全国盐业工作，负责管理全国食盐专营工作。县级以上地方人民政府确定的盐业主管部门负责管理本行政区域的食盐专营工作。</w:t>
            </w:r>
          </w:p>
          <w:p w14:paraId="44D9197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国务院食品药品监督管理部门负责全国食盐质量安全监督管理。县级以上地方人民政府确定的食盐质量安全监督管理部门负责本行政区域的食盐质量安全监督管理。"</w:t>
            </w:r>
          </w:p>
        </w:tc>
        <w:tc>
          <w:tcPr>
            <w:tcW w:w="938" w:type="dxa"/>
            <w:tcBorders>
              <w:tl2br w:val="nil"/>
              <w:tr2bl w:val="nil"/>
            </w:tcBorders>
            <w:noWrap w:val="0"/>
            <w:vAlign w:val="center"/>
          </w:tcPr>
          <w:p w14:paraId="3C8457E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特殊食品股、执法大队、市监所</w:t>
            </w:r>
          </w:p>
        </w:tc>
        <w:tc>
          <w:tcPr>
            <w:tcW w:w="825" w:type="dxa"/>
            <w:tcBorders>
              <w:tl2br w:val="nil"/>
              <w:tr2bl w:val="nil"/>
            </w:tcBorders>
            <w:noWrap w:val="0"/>
            <w:vAlign w:val="center"/>
          </w:tcPr>
          <w:p w14:paraId="2D1453C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食盐生产、经营单位</w:t>
            </w:r>
          </w:p>
        </w:tc>
        <w:tc>
          <w:tcPr>
            <w:tcW w:w="3737" w:type="dxa"/>
            <w:tcBorders>
              <w:tl2br w:val="nil"/>
              <w:tr2bl w:val="nil"/>
            </w:tcBorders>
            <w:noWrap w:val="0"/>
            <w:vAlign w:val="center"/>
          </w:tcPr>
          <w:p w14:paraId="2009A2B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一般检查事项</w:t>
            </w:r>
          </w:p>
        </w:tc>
        <w:tc>
          <w:tcPr>
            <w:tcW w:w="963" w:type="dxa"/>
            <w:tcBorders>
              <w:tl2br w:val="nil"/>
              <w:tr2bl w:val="nil"/>
            </w:tcBorders>
            <w:noWrap w:val="0"/>
            <w:vAlign w:val="center"/>
          </w:tcPr>
          <w:p w14:paraId="2AFAB6CD">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w:t>
            </w:r>
          </w:p>
        </w:tc>
        <w:tc>
          <w:tcPr>
            <w:tcW w:w="1175" w:type="dxa"/>
            <w:tcBorders>
              <w:tl2br w:val="nil"/>
              <w:tr2bl w:val="nil"/>
            </w:tcBorders>
            <w:noWrap w:val="0"/>
            <w:vAlign w:val="center"/>
          </w:tcPr>
          <w:p w14:paraId="4517D2C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每年3月底前报经同级司法行政部门备案审查的涉企年度行政检查计划执行</w:t>
            </w:r>
          </w:p>
        </w:tc>
        <w:tc>
          <w:tcPr>
            <w:tcW w:w="1994" w:type="dxa"/>
            <w:tcBorders>
              <w:tl2br w:val="nil"/>
              <w:tr2bl w:val="nil"/>
            </w:tcBorders>
            <w:noWrap w:val="0"/>
            <w:vAlign w:val="center"/>
          </w:tcPr>
          <w:p w14:paraId="0779C9E6">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3C007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763DF4F9">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val="en-US" w:eastAsia="zh-CN"/>
              </w:rPr>
              <w:t>36</w:t>
            </w:r>
          </w:p>
        </w:tc>
        <w:tc>
          <w:tcPr>
            <w:tcW w:w="938" w:type="dxa"/>
            <w:tcBorders>
              <w:tl2br w:val="nil"/>
              <w:tr2bl w:val="nil"/>
            </w:tcBorders>
            <w:noWrap w:val="0"/>
            <w:vAlign w:val="center"/>
          </w:tcPr>
          <w:p w14:paraId="6FBDC7DE">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对特种设备生产、经营、使用单位和检验、检测机构的行政检查</w:t>
            </w:r>
          </w:p>
        </w:tc>
        <w:tc>
          <w:tcPr>
            <w:tcW w:w="1200" w:type="dxa"/>
            <w:tcBorders>
              <w:tl2br w:val="nil"/>
              <w:tr2bl w:val="nil"/>
            </w:tcBorders>
            <w:noWrap w:val="0"/>
            <w:vAlign w:val="center"/>
          </w:tcPr>
          <w:p w14:paraId="5F319C9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p>
          <w:p w14:paraId="36FD1CC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管理部门</w:t>
            </w:r>
          </w:p>
          <w:p w14:paraId="6AD76B2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（省级、市级、县级）</w:t>
            </w:r>
          </w:p>
        </w:tc>
        <w:tc>
          <w:tcPr>
            <w:tcW w:w="3537" w:type="dxa"/>
            <w:tcBorders>
              <w:tl2br w:val="nil"/>
              <w:tr2bl w:val="nil"/>
            </w:tcBorders>
            <w:noWrap w:val="0"/>
            <w:vAlign w:val="center"/>
          </w:tcPr>
          <w:p w14:paraId="77238E5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pacing w:val="0"/>
                <w:sz w:val="21"/>
                <w:szCs w:val="21"/>
                <w:lang w:val="en-US" w:eastAsia="zh-CN" w:bidi="ar"/>
              </w:rPr>
            </w:pPr>
            <w:r>
              <w:rPr>
                <w:rFonts w:hint="eastAsia" w:asciiTheme="minorEastAsia" w:hAnsiTheme="minorEastAsia" w:eastAsiaTheme="minorEastAsia" w:cstheme="minorEastAsia"/>
                <w:b w:val="0"/>
                <w:bCs/>
                <w:i w:val="0"/>
                <w:color w:val="auto"/>
                <w:spacing w:val="0"/>
                <w:kern w:val="0"/>
                <w:sz w:val="21"/>
                <w:szCs w:val="21"/>
                <w:u w:val="none"/>
                <w:lang w:val="en-US" w:eastAsia="zh-CN" w:bidi="ar"/>
              </w:rPr>
              <w:t>《中华人民共和国特种设备安全法》</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第五条 县级以上地方各级人民政府负责特种设备安全监督管理的部门对本行政区域内特种设备实施安全监督管理。</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第五十七条第一款 负责特种设备安全监督管理的部门依照本法规定，对特种设备生产、经营、使用单位和检验、检测机构实施监督检查。</w:t>
            </w:r>
            <w:r>
              <w:rPr>
                <w:rStyle w:val="13"/>
                <w:rFonts w:hint="eastAsia" w:asciiTheme="minorEastAsia" w:hAnsiTheme="minorEastAsia" w:eastAsiaTheme="minorEastAsia" w:cstheme="minorEastAsia"/>
                <w:b w:val="0"/>
                <w:bCs/>
                <w:color w:val="auto"/>
                <w:spacing w:val="0"/>
                <w:sz w:val="21"/>
                <w:szCs w:val="21"/>
                <w:lang w:val="en-US" w:eastAsia="zh-CN" w:bidi="ar"/>
              </w:rPr>
              <w:t>《特种设备安全监督检查办法》</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第二条 市场监督管理部门对特种设备生产（包括设计、制造、安装、改造、修理）、经营、使用（含充装，下同）单位和检验、检测机构实施监督检查，使用本办法。</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第三条第二款 县级以上市场监督管理部门负责本行政区域内的特种设备安全监督检查工作，依据上级市场监督管理部门部署或者实际工作需要，组织开展监督检查。</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第三条第三款 市场监督管理所依照市场监管法律、法规、规章有关规定以及上级市场监督管理部门确定的权限，承担相关特种设备安全监督检查工作。</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第七条 市级市场监督管理部门负责制定年度常规监督检查计划，确定辖区内市场监管部门任务分工，并分级负责实施。年度常规监督检查计划应报告同级人民政府。对特种设备生产单位开展的年度常规监督检查计划还应当同时报告省级市场监督管理部门。</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第十条 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第十二条 市场监督管理部门对其许可的特种设备生产、充装单位和检验、检测机构是否持续保持许可条件、依法从事许可活动实施证后监督检查。</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第十三条 证后监督检查由实施行政许可的市场监督管理部门负责组织实施，或者委托下级市场监督管理部门组织实施。</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第十八条 市场监督管理部门对其他部门移送、上级交办、投诉、举报等途径和检验、检测、监测等方式发现的特种设备安全违法行为或者事故隐患线索，根据需要可以对特种设备生产、经营、使用单位和检验、检测机构实施监督检查。</w:t>
            </w:r>
            <w:r>
              <w:rPr>
                <w:rStyle w:val="12"/>
                <w:rFonts w:hint="eastAsia" w:asciiTheme="minorEastAsia" w:hAnsiTheme="minorEastAsia" w:eastAsiaTheme="minorEastAsia" w:cstheme="minorEastAsia"/>
                <w:b w:val="0"/>
                <w:bCs/>
                <w:color w:val="auto"/>
                <w:spacing w:val="0"/>
                <w:sz w:val="21"/>
                <w:szCs w:val="21"/>
                <w:lang w:val="en-US" w:eastAsia="zh-CN" w:bidi="ar"/>
              </w:rPr>
              <w:br w:type="textWrapping"/>
            </w:r>
            <w:r>
              <w:rPr>
                <w:rStyle w:val="12"/>
                <w:rFonts w:hint="eastAsia" w:asciiTheme="minorEastAsia" w:hAnsiTheme="minorEastAsia" w:eastAsiaTheme="minorEastAsia" w:cstheme="minorEastAsia"/>
                <w:b w:val="0"/>
                <w:bCs/>
                <w:color w:val="auto"/>
                <w:spacing w:val="0"/>
                <w:sz w:val="21"/>
                <w:szCs w:val="21"/>
                <w:lang w:val="en-US" w:eastAsia="zh-CN" w:bidi="ar"/>
              </w:rPr>
              <w:t>第十九条 市场监督管理部门实施监督检查时，应当有二名以上检查人员参加，出示有效的特种设备安全行政执法证件，并说明检查的任务来源、依据、内容、要求等。</w:t>
            </w:r>
          </w:p>
          <w:p w14:paraId="52C0F67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pacing w:val="0"/>
                <w:sz w:val="21"/>
                <w:szCs w:val="21"/>
                <w:lang w:val="en-US" w:eastAsia="zh-CN" w:bidi="ar"/>
              </w:rPr>
            </w:pPr>
          </w:p>
          <w:p w14:paraId="42CA0ADD">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pacing w:val="0"/>
                <w:sz w:val="21"/>
                <w:szCs w:val="21"/>
                <w:lang w:val="en-US" w:eastAsia="zh-CN" w:bidi="ar"/>
              </w:rPr>
            </w:pPr>
          </w:p>
          <w:p w14:paraId="21215F7A">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Style w:val="12"/>
                <w:rFonts w:hint="eastAsia" w:asciiTheme="minorEastAsia" w:hAnsiTheme="minorEastAsia" w:eastAsiaTheme="minorEastAsia" w:cstheme="minorEastAsia"/>
                <w:b w:val="0"/>
                <w:bCs/>
                <w:color w:val="auto"/>
                <w:spacing w:val="0"/>
                <w:sz w:val="21"/>
                <w:szCs w:val="21"/>
                <w:lang w:val="en-US" w:eastAsia="zh-CN" w:bidi="ar"/>
              </w:rPr>
            </w:pPr>
          </w:p>
        </w:tc>
        <w:tc>
          <w:tcPr>
            <w:tcW w:w="938" w:type="dxa"/>
            <w:tcBorders>
              <w:tl2br w:val="nil"/>
              <w:tr2bl w:val="nil"/>
            </w:tcBorders>
            <w:noWrap w:val="0"/>
            <w:vAlign w:val="center"/>
          </w:tcPr>
          <w:p w14:paraId="6F36B0CC">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特种设备安全监察股、执法大队、市监所</w:t>
            </w:r>
          </w:p>
        </w:tc>
        <w:tc>
          <w:tcPr>
            <w:tcW w:w="825" w:type="dxa"/>
            <w:tcBorders>
              <w:tl2br w:val="nil"/>
              <w:tr2bl w:val="nil"/>
            </w:tcBorders>
            <w:noWrap w:val="0"/>
            <w:vAlign w:val="center"/>
          </w:tcPr>
          <w:p w14:paraId="227390D2">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特种设备生产、经营、使用单位和检验、检测机构</w:t>
            </w:r>
          </w:p>
        </w:tc>
        <w:tc>
          <w:tcPr>
            <w:tcW w:w="3737" w:type="dxa"/>
            <w:tcBorders>
              <w:tl2br w:val="nil"/>
              <w:tr2bl w:val="nil"/>
            </w:tcBorders>
            <w:noWrap w:val="0"/>
            <w:vAlign w:val="center"/>
          </w:tcPr>
          <w:p w14:paraId="5E7A58D0">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种设备生产单位常规监督检查项目表》、《特种设备使用单位常规监督检查项目表》、《特种设备检验、检测机构专项监督检查项目表》、《特种设备生产和充装单位许可规则》、《特种设备检验机构核准规则》、《特种设备检测机构核准规则》以及特种设备相关的技术规范要求</w:t>
            </w:r>
          </w:p>
        </w:tc>
        <w:tc>
          <w:tcPr>
            <w:tcW w:w="963" w:type="dxa"/>
            <w:tcBorders>
              <w:tl2br w:val="nil"/>
              <w:tr2bl w:val="nil"/>
            </w:tcBorders>
            <w:noWrap w:val="0"/>
            <w:vAlign w:val="center"/>
          </w:tcPr>
          <w:p w14:paraId="170F3EF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76C01501">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按本单位每年3月底前报送经同级司法行政部门备案检查的涉企年度行政检查计划执行</w:t>
            </w:r>
          </w:p>
        </w:tc>
        <w:tc>
          <w:tcPr>
            <w:tcW w:w="1994" w:type="dxa"/>
            <w:tcBorders>
              <w:tl2br w:val="nil"/>
              <w:tr2bl w:val="nil"/>
            </w:tcBorders>
            <w:noWrap w:val="0"/>
            <w:vAlign w:val="center"/>
          </w:tcPr>
          <w:p w14:paraId="297A9419">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涉企行政检查以属地为原则，有重大影响或者跨县级区域的，由市级市场监管部门负责，有重大影响或者跨市级区域性的，由省级市场监管部门或者省级市场监管部门委托下级市场监管部门负责。</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年度常规监督检查计划由市级市场监督管理部门负责制定，确定辖区内市场监管部门任务分工，并分级负责实施。年度常规监督检查计划应报告同级人民政府。</w:t>
            </w:r>
            <w:r>
              <w:rPr>
                <w:rFonts w:hint="eastAsia" w:asciiTheme="minorEastAsia" w:hAnsiTheme="minorEastAsia" w:eastAsiaTheme="minorEastAsia" w:cstheme="minorEastAsia"/>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i w:val="0"/>
                <w:color w:val="auto"/>
                <w:spacing w:val="0"/>
                <w:kern w:val="0"/>
                <w:sz w:val="21"/>
                <w:szCs w:val="21"/>
                <w:u w:val="none"/>
                <w:lang w:val="en-US" w:eastAsia="zh-CN" w:bidi="ar"/>
              </w:rPr>
              <w:t>省级市场监管部门负责制定证后监督抽查计划和实施。省级市场监管部门委托市级市场监管部门负责的许可，市级市场监管部门负责制定证后监督抽查计划和实施，但不得与省级部门重复抽查。</w:t>
            </w:r>
          </w:p>
        </w:tc>
      </w:tr>
      <w:tr w14:paraId="3516D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41B59ED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val="en-US" w:eastAsia="zh-CN"/>
              </w:rPr>
              <w:t>37</w:t>
            </w:r>
          </w:p>
        </w:tc>
        <w:tc>
          <w:tcPr>
            <w:tcW w:w="938" w:type="dxa"/>
            <w:tcBorders>
              <w:tl2br w:val="nil"/>
              <w:tr2bl w:val="nil"/>
            </w:tcBorders>
            <w:noWrap w:val="0"/>
            <w:vAlign w:val="center"/>
          </w:tcPr>
          <w:p w14:paraId="39EFF83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对特种设备检验、检测机构的检验、检测结果和鉴定结论的行政检查</w:t>
            </w:r>
          </w:p>
        </w:tc>
        <w:tc>
          <w:tcPr>
            <w:tcW w:w="1200" w:type="dxa"/>
            <w:tcBorders>
              <w:tl2br w:val="nil"/>
              <w:tr2bl w:val="nil"/>
            </w:tcBorders>
            <w:noWrap w:val="0"/>
            <w:vAlign w:val="center"/>
          </w:tcPr>
          <w:p w14:paraId="613D881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市场监督</w:t>
            </w:r>
          </w:p>
          <w:p w14:paraId="2589A12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管理部门</w:t>
            </w:r>
          </w:p>
          <w:p w14:paraId="158BA0C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（省级、市级、县级）</w:t>
            </w:r>
          </w:p>
        </w:tc>
        <w:tc>
          <w:tcPr>
            <w:tcW w:w="3537" w:type="dxa"/>
            <w:tcBorders>
              <w:tl2br w:val="nil"/>
              <w:tr2bl w:val="nil"/>
            </w:tcBorders>
            <w:noWrap w:val="0"/>
            <w:vAlign w:val="center"/>
          </w:tcPr>
          <w:p w14:paraId="0E24CFE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b w:val="0"/>
                <w:bCs/>
                <w:i w:val="0"/>
                <w:color w:val="auto"/>
                <w:spacing w:val="0"/>
                <w:kern w:val="0"/>
                <w:sz w:val="21"/>
                <w:szCs w:val="21"/>
                <w:u w:val="none"/>
                <w:lang w:val="en-US" w:eastAsia="zh-CN" w:bidi="ar"/>
              </w:rPr>
            </w:pPr>
            <w:r>
              <w:rPr>
                <w:rFonts w:hint="eastAsia" w:asciiTheme="minorEastAsia" w:hAnsiTheme="minorEastAsia" w:eastAsiaTheme="minorEastAsia" w:cstheme="minorEastAsia"/>
                <w:b w:val="0"/>
                <w:bCs/>
                <w:i w:val="0"/>
                <w:color w:val="auto"/>
                <w:spacing w:val="0"/>
                <w:kern w:val="0"/>
                <w:sz w:val="21"/>
                <w:szCs w:val="21"/>
                <w:u w:val="none"/>
                <w:lang w:val="en-US" w:eastAsia="zh-CN" w:bidi="ar"/>
              </w:rPr>
              <w:t>《中华人民共和国特种设备安全法》</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第五条 县级以上地方各级人民政府负责特种设备安全监督管理的部门对本行政区域内特种设备实施安全监督管理。</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第五十三条第三款 负责特种设备安全监督管理的部门应当组织对特种设备检验、检测机构的检验、检测结果和鉴定结论进行监督抽查，但应当防止重复抽查。监督抽查结果应当向社会公布。</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第五十七条第一款 负责特种设备安全监督管理的部门依照本法规定，对特种设备生产、经营、使用单位和检验、检测机构实施监督检查。</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《特种设备安全监督检查办法》</w:t>
            </w:r>
            <w:r>
              <w:rPr>
                <w:rFonts w:hint="eastAsia" w:asciiTheme="minorEastAsia" w:hAnsiTheme="minorEastAsia" w:eastAsiaTheme="minorEastAsia" w:cstheme="minorEastAsia"/>
                <w:b w:val="0"/>
                <w:bCs/>
                <w:i w:val="0"/>
                <w:color w:val="auto"/>
                <w:spacing w:val="0"/>
                <w:kern w:val="0"/>
                <w:sz w:val="21"/>
                <w:szCs w:val="21"/>
                <w:u w:val="none"/>
                <w:lang w:val="en-US" w:eastAsia="zh-CN" w:bidi="ar"/>
              </w:rPr>
              <w:br w:type="textWrapping"/>
            </w:r>
            <w:r>
              <w:rPr>
                <w:rFonts w:hint="eastAsia" w:asciiTheme="minorEastAsia" w:hAnsiTheme="minorEastAsia" w:eastAsiaTheme="minorEastAsia" w:cstheme="minorEastAsia"/>
                <w:b w:val="0"/>
                <w:bCs/>
                <w:i w:val="0"/>
                <w:color w:val="auto"/>
                <w:spacing w:val="0"/>
                <w:kern w:val="0"/>
                <w:sz w:val="21"/>
                <w:szCs w:val="21"/>
                <w:u w:val="none"/>
                <w:lang w:val="en-US" w:eastAsia="zh-CN" w:bidi="ar"/>
              </w:rPr>
              <w:t>第十八条 市场监督管理部门对其他部门移送、上级交办、投诉、举报等途径和检验、检测、监测等方式发现的特种设备安全违法行为或者事故隐患线索，根据需要可以对特种设备生产、经营、使用单位和检验、检测机构实施监督检查。</w:t>
            </w:r>
          </w:p>
          <w:p w14:paraId="25CA86E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b w:val="0"/>
                <w:bCs/>
                <w:i w:val="0"/>
                <w:color w:val="auto"/>
                <w:spacing w:val="0"/>
                <w:kern w:val="0"/>
                <w:sz w:val="21"/>
                <w:szCs w:val="21"/>
                <w:u w:val="none"/>
                <w:lang w:val="en-US" w:eastAsia="zh-CN" w:bidi="ar"/>
              </w:rPr>
            </w:pPr>
          </w:p>
        </w:tc>
        <w:tc>
          <w:tcPr>
            <w:tcW w:w="938" w:type="dxa"/>
            <w:tcBorders>
              <w:tl2br w:val="nil"/>
              <w:tr2bl w:val="nil"/>
            </w:tcBorders>
            <w:noWrap w:val="0"/>
            <w:vAlign w:val="center"/>
          </w:tcPr>
          <w:p w14:paraId="130093B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特种设备安全监察股、执法大队、市监所</w:t>
            </w:r>
          </w:p>
        </w:tc>
        <w:tc>
          <w:tcPr>
            <w:tcW w:w="825" w:type="dxa"/>
            <w:tcBorders>
              <w:tl2br w:val="nil"/>
              <w:tr2bl w:val="nil"/>
            </w:tcBorders>
            <w:noWrap w:val="0"/>
            <w:vAlign w:val="center"/>
          </w:tcPr>
          <w:p w14:paraId="0453ECF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特种设备检验、检测机构</w:t>
            </w:r>
          </w:p>
        </w:tc>
        <w:tc>
          <w:tcPr>
            <w:tcW w:w="3737" w:type="dxa"/>
            <w:tcBorders>
              <w:tl2br w:val="nil"/>
              <w:tr2bl w:val="nil"/>
            </w:tcBorders>
            <w:noWrap w:val="0"/>
            <w:vAlign w:val="center"/>
          </w:tcPr>
          <w:p w14:paraId="63931F7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《特种设备检验、检测机构专项监督检查项目表》、《特种设备检验机构核准规则》、《特种设备检测机构核准规则》以及特种设备相关的技术规范要求</w:t>
            </w:r>
          </w:p>
        </w:tc>
        <w:tc>
          <w:tcPr>
            <w:tcW w:w="963" w:type="dxa"/>
            <w:tcBorders>
              <w:tl2br w:val="nil"/>
              <w:tr2bl w:val="nil"/>
            </w:tcBorders>
            <w:noWrap w:val="0"/>
            <w:vAlign w:val="center"/>
          </w:tcPr>
          <w:p w14:paraId="248E571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现场检查、非现场检查相结合</w:t>
            </w:r>
          </w:p>
        </w:tc>
        <w:tc>
          <w:tcPr>
            <w:tcW w:w="1175" w:type="dxa"/>
            <w:tcBorders>
              <w:tl2br w:val="nil"/>
              <w:tr2bl w:val="nil"/>
            </w:tcBorders>
            <w:noWrap w:val="0"/>
            <w:vAlign w:val="center"/>
          </w:tcPr>
          <w:p w14:paraId="719BD7E9">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按本单位每年3月底前报送经同级司法行政部门备案检查的涉企年度行政检查计划执行</w:t>
            </w:r>
          </w:p>
        </w:tc>
        <w:tc>
          <w:tcPr>
            <w:tcW w:w="1994" w:type="dxa"/>
            <w:tcBorders>
              <w:tl2br w:val="nil"/>
              <w:tr2bl w:val="nil"/>
            </w:tcBorders>
            <w:noWrap w:val="0"/>
            <w:vAlign w:val="center"/>
          </w:tcPr>
          <w:p w14:paraId="0AB4B77B">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i w:val="0"/>
                <w:color w:val="auto"/>
                <w:spacing w:val="0"/>
                <w:kern w:val="0"/>
                <w:sz w:val="21"/>
                <w:szCs w:val="21"/>
                <w:u w:val="none"/>
                <w:lang w:val="en-US" w:eastAsia="zh-CN" w:bidi="ar"/>
              </w:rPr>
              <w:t>涉企行政检查以属地为原则，有重大影响或者跨县级区域的，由市级市场监管部门负责，有重大影响或者跨市级区域性的，由省级市场监管部门或者省级市场监管部门委托下级市场监管部门负责。</w:t>
            </w:r>
          </w:p>
        </w:tc>
      </w:tr>
      <w:tr w14:paraId="2597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2316347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 w:eastAsia="zh-CN"/>
              </w:rPr>
            </w:pPr>
            <w:r>
              <w:rPr>
                <w:rFonts w:hint="eastAsia" w:asciiTheme="minorEastAsia" w:hAnsiTheme="minorEastAsia" w:eastAsiaTheme="minorEastAsia" w:cstheme="minorEastAsia"/>
                <w:color w:val="auto"/>
                <w:spacing w:val="0"/>
                <w:sz w:val="21"/>
                <w:szCs w:val="21"/>
                <w:lang w:val="en-US" w:eastAsia="zh-CN"/>
              </w:rPr>
              <w:t>38</w:t>
            </w:r>
          </w:p>
        </w:tc>
        <w:tc>
          <w:tcPr>
            <w:tcW w:w="938" w:type="dxa"/>
            <w:tcBorders>
              <w:tl2br w:val="nil"/>
              <w:tr2bl w:val="nil"/>
            </w:tcBorders>
            <w:noWrap w:val="0"/>
            <w:vAlign w:val="center"/>
          </w:tcPr>
          <w:p w14:paraId="09528083">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在用计量器具监督检查</w:t>
            </w:r>
          </w:p>
        </w:tc>
        <w:tc>
          <w:tcPr>
            <w:tcW w:w="1200" w:type="dxa"/>
            <w:tcBorders>
              <w:tl2br w:val="nil"/>
              <w:tr2bl w:val="nil"/>
            </w:tcBorders>
            <w:noWrap w:val="0"/>
            <w:vAlign w:val="center"/>
          </w:tcPr>
          <w:p w14:paraId="63E7F957">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县级以上市场监管部门</w:t>
            </w:r>
          </w:p>
        </w:tc>
        <w:tc>
          <w:tcPr>
            <w:tcW w:w="3537" w:type="dxa"/>
            <w:tcBorders>
              <w:tl2br w:val="nil"/>
              <w:tr2bl w:val="nil"/>
            </w:tcBorders>
            <w:noWrap w:val="0"/>
            <w:vAlign w:val="center"/>
          </w:tcPr>
          <w:p w14:paraId="3C98BAD5">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《计量法》第十八条</w:t>
            </w:r>
          </w:p>
          <w:p w14:paraId="6A05FA2B">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《集贸市场计量监督管理办法》</w:t>
            </w:r>
            <w:r>
              <w:rPr>
                <w:rFonts w:hint="eastAsia" w:asciiTheme="minorEastAsia" w:hAnsiTheme="minorEastAsia" w:eastAsiaTheme="minorEastAsia" w:cstheme="minorEastAsia"/>
                <w:color w:val="auto"/>
                <w:spacing w:val="0"/>
                <w:sz w:val="21"/>
                <w:szCs w:val="21"/>
                <w:lang w:eastAsia="zh-CN"/>
              </w:rPr>
              <w:t>第三条、</w:t>
            </w:r>
            <w:r>
              <w:rPr>
                <w:rFonts w:hint="eastAsia" w:asciiTheme="minorEastAsia" w:hAnsiTheme="minorEastAsia" w:eastAsiaTheme="minorEastAsia" w:cstheme="minorEastAsia"/>
                <w:color w:val="auto"/>
                <w:spacing w:val="0"/>
                <w:sz w:val="21"/>
                <w:szCs w:val="21"/>
              </w:rPr>
              <w:t>第十一条</w:t>
            </w:r>
          </w:p>
          <w:p w14:paraId="1A098B60">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《加油站计量监督管理办法》第</w:t>
            </w:r>
            <w:r>
              <w:rPr>
                <w:rFonts w:hint="eastAsia" w:asciiTheme="minorEastAsia" w:hAnsiTheme="minorEastAsia" w:eastAsiaTheme="minorEastAsia" w:cstheme="minorEastAsia"/>
                <w:color w:val="auto"/>
                <w:spacing w:val="0"/>
                <w:sz w:val="21"/>
                <w:szCs w:val="21"/>
                <w:lang w:eastAsia="zh-CN"/>
              </w:rPr>
              <w:t>三条、第</w:t>
            </w:r>
            <w:r>
              <w:rPr>
                <w:rFonts w:hint="eastAsia" w:asciiTheme="minorEastAsia" w:hAnsiTheme="minorEastAsia" w:eastAsiaTheme="minorEastAsia" w:cstheme="minorEastAsia"/>
                <w:color w:val="auto"/>
                <w:spacing w:val="0"/>
                <w:sz w:val="21"/>
                <w:szCs w:val="21"/>
              </w:rPr>
              <w:t>六条</w:t>
            </w:r>
          </w:p>
          <w:p w14:paraId="6C2F3013">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b w:val="0"/>
                <w:bCs/>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《眼镜制配计量监督管理办法》第</w:t>
            </w:r>
            <w:r>
              <w:rPr>
                <w:rFonts w:hint="eastAsia" w:asciiTheme="minorEastAsia" w:hAnsiTheme="minorEastAsia" w:eastAsiaTheme="minorEastAsia" w:cstheme="minorEastAsia"/>
                <w:color w:val="auto"/>
                <w:spacing w:val="0"/>
                <w:sz w:val="21"/>
                <w:szCs w:val="21"/>
                <w:lang w:eastAsia="zh-CN"/>
              </w:rPr>
              <w:t>三条、第</w:t>
            </w:r>
            <w:r>
              <w:rPr>
                <w:rFonts w:hint="eastAsia" w:asciiTheme="minorEastAsia" w:hAnsiTheme="minorEastAsia" w:eastAsiaTheme="minorEastAsia" w:cstheme="minorEastAsia"/>
                <w:color w:val="auto"/>
                <w:spacing w:val="0"/>
                <w:sz w:val="21"/>
                <w:szCs w:val="21"/>
              </w:rPr>
              <w:t>七条</w:t>
            </w:r>
          </w:p>
        </w:tc>
        <w:tc>
          <w:tcPr>
            <w:tcW w:w="938" w:type="dxa"/>
            <w:tcBorders>
              <w:tl2br w:val="nil"/>
              <w:tr2bl w:val="nil"/>
            </w:tcBorders>
            <w:noWrap w:val="0"/>
            <w:vAlign w:val="center"/>
          </w:tcPr>
          <w:p w14:paraId="5EFB0102">
            <w:pPr>
              <w:keepNext w:val="0"/>
              <w:keepLines w:val="0"/>
              <w:pageBreakBefore w:val="0"/>
              <w:widowControl w:val="0"/>
              <w:suppressLineNumbers w:val="0"/>
              <w:kinsoku/>
              <w:wordWrap/>
              <w:overflowPunct/>
              <w:topLinePunct w:val="0"/>
              <w:bidi w:val="0"/>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计量股、</w:t>
            </w:r>
            <w:r>
              <w:rPr>
                <w:rFonts w:hint="eastAsia" w:asciiTheme="minorEastAsia" w:hAnsiTheme="minorEastAsia" w:eastAsiaTheme="minorEastAsia" w:cstheme="minorEastAsia"/>
                <w:i w:val="0"/>
                <w:color w:val="auto"/>
                <w:spacing w:val="0"/>
                <w:kern w:val="0"/>
                <w:sz w:val="21"/>
                <w:szCs w:val="21"/>
                <w:u w:val="none"/>
                <w:lang w:val="en-US" w:eastAsia="zh-CN" w:bidi="ar"/>
              </w:rPr>
              <w:t>执法大队、市监所</w:t>
            </w:r>
          </w:p>
        </w:tc>
        <w:tc>
          <w:tcPr>
            <w:tcW w:w="825" w:type="dxa"/>
            <w:tcBorders>
              <w:tl2br w:val="nil"/>
              <w:tr2bl w:val="nil"/>
            </w:tcBorders>
            <w:noWrap w:val="0"/>
            <w:vAlign w:val="center"/>
          </w:tcPr>
          <w:p w14:paraId="79A02DDC">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粮食购销领域、加油站、眼镜制配场所、集贸市场等在用强检计量器具使用单位</w:t>
            </w:r>
          </w:p>
        </w:tc>
        <w:tc>
          <w:tcPr>
            <w:tcW w:w="3737" w:type="dxa"/>
            <w:tcBorders>
              <w:tl2br w:val="nil"/>
              <w:tr2bl w:val="nil"/>
            </w:tcBorders>
            <w:noWrap w:val="0"/>
            <w:vAlign w:val="center"/>
          </w:tcPr>
          <w:p w14:paraId="0D14DB6F">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检查在用强检计量器具使用单位是否有完善的计量管理制度；是否配备专（兼）职计量人员；是否按照规定将其使用的强制检定工作计量器具登记造册，报当地市场监管部门备案，并向其指定的计量检定机构申请周期检定；是否存在使用未经检定、超过检定周期或检定不合格的计量器具；是否存在使用以欺骗消费者为目的的计量器具或者破坏计量器具准确度、伪造数据；是否存在使用未经型式批准的计量具。</w:t>
            </w:r>
          </w:p>
        </w:tc>
        <w:tc>
          <w:tcPr>
            <w:tcW w:w="963" w:type="dxa"/>
            <w:tcBorders>
              <w:tl2br w:val="nil"/>
              <w:tr2bl w:val="nil"/>
            </w:tcBorders>
            <w:noWrap w:val="0"/>
            <w:vAlign w:val="center"/>
          </w:tcPr>
          <w:p w14:paraId="312AA71D">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现场检查、</w:t>
            </w:r>
            <w:r>
              <w:rPr>
                <w:rFonts w:hint="eastAsia" w:asciiTheme="minorEastAsia" w:hAnsiTheme="minorEastAsia" w:eastAsiaTheme="minorEastAsia" w:cstheme="minorEastAsia"/>
                <w:color w:val="auto"/>
                <w:spacing w:val="0"/>
                <w:sz w:val="21"/>
                <w:szCs w:val="21"/>
                <w:lang w:eastAsia="zh-CN"/>
              </w:rPr>
              <w:t>非现场检查相结合</w:t>
            </w:r>
          </w:p>
        </w:tc>
        <w:tc>
          <w:tcPr>
            <w:tcW w:w="1175" w:type="dxa"/>
            <w:tcBorders>
              <w:tl2br w:val="nil"/>
              <w:tr2bl w:val="nil"/>
            </w:tcBorders>
            <w:noWrap w:val="0"/>
            <w:vAlign w:val="center"/>
          </w:tcPr>
          <w:p w14:paraId="06C83EA7">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76CE45E7">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按年度抽查计划执行</w:t>
            </w:r>
          </w:p>
        </w:tc>
      </w:tr>
      <w:tr w14:paraId="4F6AB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72C958A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39</w:t>
            </w:r>
          </w:p>
        </w:tc>
        <w:tc>
          <w:tcPr>
            <w:tcW w:w="938" w:type="dxa"/>
            <w:tcBorders>
              <w:tl2br w:val="nil"/>
              <w:tr2bl w:val="nil"/>
            </w:tcBorders>
            <w:noWrap w:val="0"/>
            <w:vAlign w:val="center"/>
          </w:tcPr>
          <w:p w14:paraId="79919E3F">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法定计量检定机构专项监督检查</w:t>
            </w:r>
          </w:p>
        </w:tc>
        <w:tc>
          <w:tcPr>
            <w:tcW w:w="1200" w:type="dxa"/>
            <w:tcBorders>
              <w:tl2br w:val="nil"/>
              <w:tr2bl w:val="nil"/>
            </w:tcBorders>
            <w:noWrap w:val="0"/>
            <w:vAlign w:val="center"/>
          </w:tcPr>
          <w:p w14:paraId="1C513E52">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县级以上市场监管部门</w:t>
            </w:r>
          </w:p>
        </w:tc>
        <w:tc>
          <w:tcPr>
            <w:tcW w:w="3537" w:type="dxa"/>
            <w:tcBorders>
              <w:tl2br w:val="nil"/>
              <w:tr2bl w:val="nil"/>
            </w:tcBorders>
            <w:noWrap w:val="0"/>
            <w:vAlign w:val="center"/>
          </w:tcPr>
          <w:p w14:paraId="7D22CCFE">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《计量法》第十八条</w:t>
            </w:r>
          </w:p>
          <w:p w14:paraId="36108F94">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《计量法实施细则》第二十八条</w:t>
            </w:r>
          </w:p>
          <w:p w14:paraId="0487DDC8">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《法定计量检定机构监督管理办法》</w:t>
            </w:r>
            <w:r>
              <w:rPr>
                <w:rFonts w:hint="eastAsia" w:asciiTheme="minorEastAsia" w:hAnsiTheme="minorEastAsia" w:eastAsiaTheme="minorEastAsia" w:cstheme="minorEastAsia"/>
                <w:color w:val="auto"/>
                <w:spacing w:val="0"/>
                <w:sz w:val="21"/>
                <w:szCs w:val="21"/>
                <w:lang w:eastAsia="zh-CN"/>
              </w:rPr>
              <w:t>第四条</w:t>
            </w:r>
            <w:r>
              <w:rPr>
                <w:rFonts w:hint="eastAsia" w:asciiTheme="minorEastAsia" w:hAnsiTheme="minorEastAsia" w:eastAsiaTheme="minorEastAsia" w:cstheme="minorEastAsia"/>
                <w:color w:val="auto"/>
                <w:spacing w:val="0"/>
                <w:sz w:val="21"/>
                <w:szCs w:val="21"/>
              </w:rPr>
              <w:t>、十</w:t>
            </w:r>
            <w:r>
              <w:rPr>
                <w:rFonts w:hint="eastAsia" w:asciiTheme="minorEastAsia" w:hAnsiTheme="minorEastAsia" w:eastAsiaTheme="minorEastAsia" w:cstheme="minorEastAsia"/>
                <w:color w:val="auto"/>
                <w:spacing w:val="0"/>
                <w:sz w:val="21"/>
                <w:szCs w:val="21"/>
                <w:lang w:eastAsia="zh-CN"/>
              </w:rPr>
              <w:t>九</w:t>
            </w:r>
            <w:r>
              <w:rPr>
                <w:rFonts w:hint="eastAsia" w:asciiTheme="minorEastAsia" w:hAnsiTheme="minorEastAsia" w:eastAsiaTheme="minorEastAsia" w:cstheme="minorEastAsia"/>
                <w:color w:val="auto"/>
                <w:spacing w:val="0"/>
                <w:sz w:val="21"/>
                <w:szCs w:val="21"/>
              </w:rPr>
              <w:t>条</w:t>
            </w:r>
          </w:p>
          <w:p w14:paraId="41AD7A5E">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b w:val="0"/>
                <w:bCs/>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《专业计量站管理办法》第十</w:t>
            </w:r>
            <w:r>
              <w:rPr>
                <w:rFonts w:hint="eastAsia" w:asciiTheme="minorEastAsia" w:hAnsiTheme="minorEastAsia" w:eastAsiaTheme="minorEastAsia" w:cstheme="minorEastAsia"/>
                <w:color w:val="auto"/>
                <w:spacing w:val="0"/>
                <w:sz w:val="21"/>
                <w:szCs w:val="21"/>
                <w:lang w:eastAsia="zh-CN"/>
              </w:rPr>
              <w:t>七</w:t>
            </w:r>
            <w:r>
              <w:rPr>
                <w:rFonts w:hint="eastAsia" w:asciiTheme="minorEastAsia" w:hAnsiTheme="minorEastAsia" w:eastAsiaTheme="minorEastAsia" w:cstheme="minorEastAsia"/>
                <w:color w:val="auto"/>
                <w:spacing w:val="0"/>
                <w:sz w:val="21"/>
                <w:szCs w:val="21"/>
              </w:rPr>
              <w:t>条</w:t>
            </w:r>
          </w:p>
        </w:tc>
        <w:tc>
          <w:tcPr>
            <w:tcW w:w="938" w:type="dxa"/>
            <w:tcBorders>
              <w:tl2br w:val="nil"/>
              <w:tr2bl w:val="nil"/>
            </w:tcBorders>
            <w:noWrap w:val="0"/>
            <w:vAlign w:val="center"/>
          </w:tcPr>
          <w:p w14:paraId="563DCAD5">
            <w:pPr>
              <w:keepNext w:val="0"/>
              <w:keepLines w:val="0"/>
              <w:pageBreakBefore w:val="0"/>
              <w:widowControl w:val="0"/>
              <w:suppressLineNumbers w:val="0"/>
              <w:kinsoku/>
              <w:wordWrap/>
              <w:overflowPunct/>
              <w:topLinePunct w:val="0"/>
              <w:bidi w:val="0"/>
              <w:snapToGrid/>
              <w:spacing w:line="28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计量股、</w:t>
            </w:r>
            <w:r>
              <w:rPr>
                <w:rFonts w:hint="eastAsia" w:asciiTheme="minorEastAsia" w:hAnsiTheme="minorEastAsia" w:eastAsiaTheme="minorEastAsia" w:cstheme="minorEastAsia"/>
                <w:i w:val="0"/>
                <w:color w:val="auto"/>
                <w:spacing w:val="0"/>
                <w:kern w:val="0"/>
                <w:sz w:val="21"/>
                <w:szCs w:val="21"/>
                <w:u w:val="none"/>
                <w:lang w:val="en-US" w:eastAsia="zh-CN" w:bidi="ar"/>
              </w:rPr>
              <w:t>执法大队、市监所</w:t>
            </w:r>
          </w:p>
        </w:tc>
        <w:tc>
          <w:tcPr>
            <w:tcW w:w="825" w:type="dxa"/>
            <w:tcBorders>
              <w:tl2br w:val="nil"/>
              <w:tr2bl w:val="nil"/>
            </w:tcBorders>
            <w:noWrap w:val="0"/>
            <w:vAlign w:val="center"/>
          </w:tcPr>
          <w:p w14:paraId="4C10710A">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法定计量检定机构</w:t>
            </w:r>
            <w:r>
              <w:rPr>
                <w:rFonts w:hint="eastAsia" w:asciiTheme="minorEastAsia" w:hAnsiTheme="minorEastAsia" w:eastAsiaTheme="minorEastAsia" w:cstheme="minorEastAsia"/>
                <w:color w:val="auto"/>
                <w:spacing w:val="0"/>
                <w:sz w:val="21"/>
                <w:szCs w:val="21"/>
                <w:lang w:eastAsia="zh-CN"/>
              </w:rPr>
              <w:t>（含计量授权检定机构）</w:t>
            </w:r>
          </w:p>
        </w:tc>
        <w:tc>
          <w:tcPr>
            <w:tcW w:w="3737" w:type="dxa"/>
            <w:tcBorders>
              <w:tl2br w:val="nil"/>
              <w:tr2bl w:val="nil"/>
            </w:tcBorders>
            <w:noWrap w:val="0"/>
            <w:vAlign w:val="center"/>
          </w:tcPr>
          <w:p w14:paraId="309F2306">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对法定计量检定机构（含计量授权检定机构）的人员情况、标准情况、机构管理情况及工作运行情况开展现场监督检查。</w:t>
            </w:r>
          </w:p>
        </w:tc>
        <w:tc>
          <w:tcPr>
            <w:tcW w:w="963" w:type="dxa"/>
            <w:tcBorders>
              <w:tl2br w:val="nil"/>
              <w:tr2bl w:val="nil"/>
            </w:tcBorders>
            <w:noWrap w:val="0"/>
            <w:vAlign w:val="center"/>
          </w:tcPr>
          <w:p w14:paraId="5D36ED58">
            <w:pPr>
              <w:keepNext w:val="0"/>
              <w:keepLines w:val="0"/>
              <w:pageBreakBefore w:val="0"/>
              <w:widowControl w:val="0"/>
              <w:kinsoku/>
              <w:wordWrap/>
              <w:overflowPunct/>
              <w:topLinePunct w:val="0"/>
              <w:bidi w:val="0"/>
              <w:snapToGrid/>
              <w:spacing w:line="28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现场检查、</w:t>
            </w:r>
            <w:r>
              <w:rPr>
                <w:rFonts w:hint="eastAsia" w:asciiTheme="minorEastAsia" w:hAnsiTheme="minorEastAsia" w:eastAsiaTheme="minorEastAsia" w:cstheme="minorEastAsia"/>
                <w:color w:val="auto"/>
                <w:spacing w:val="0"/>
                <w:sz w:val="21"/>
                <w:szCs w:val="21"/>
                <w:lang w:eastAsia="zh-CN"/>
              </w:rPr>
              <w:t>非现场检查相结合</w:t>
            </w:r>
          </w:p>
        </w:tc>
        <w:tc>
          <w:tcPr>
            <w:tcW w:w="1175" w:type="dxa"/>
            <w:tcBorders>
              <w:tl2br w:val="nil"/>
              <w:tr2bl w:val="nil"/>
            </w:tcBorders>
            <w:noWrap w:val="0"/>
            <w:vAlign w:val="center"/>
          </w:tcPr>
          <w:p w14:paraId="1F21C03B">
            <w:pPr>
              <w:keepNext w:val="0"/>
              <w:keepLines w:val="0"/>
              <w:pageBreakBefore w:val="0"/>
              <w:widowControl w:val="0"/>
              <w:kinsoku/>
              <w:wordWrap/>
              <w:overflowPunct/>
              <w:topLinePunct w:val="0"/>
              <w:autoSpaceDE w:val="0"/>
              <w:autoSpaceDN w:val="0"/>
              <w:bidi w:val="0"/>
              <w:adjustRightInd w:val="0"/>
              <w:snapToGrid/>
              <w:spacing w:line="280" w:lineRule="exact"/>
              <w:ind w:left="0" w:leftChars="0" w:firstLine="0" w:firstLineChars="0"/>
              <w:jc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604EEB4D">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46A35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7ABEC2C6">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40</w:t>
            </w:r>
          </w:p>
        </w:tc>
        <w:tc>
          <w:tcPr>
            <w:tcW w:w="938" w:type="dxa"/>
            <w:tcBorders>
              <w:tl2br w:val="nil"/>
              <w:tr2bl w:val="nil"/>
            </w:tcBorders>
            <w:noWrap w:val="0"/>
            <w:vAlign w:val="center"/>
          </w:tcPr>
          <w:p w14:paraId="1F0CB340">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计量单位使用情况专项监督检查</w:t>
            </w:r>
          </w:p>
        </w:tc>
        <w:tc>
          <w:tcPr>
            <w:tcW w:w="1200" w:type="dxa"/>
            <w:tcBorders>
              <w:tl2br w:val="nil"/>
              <w:tr2bl w:val="nil"/>
            </w:tcBorders>
            <w:noWrap w:val="0"/>
            <w:vAlign w:val="center"/>
          </w:tcPr>
          <w:p w14:paraId="4B216423">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县级以上市场监管部门</w:t>
            </w:r>
          </w:p>
        </w:tc>
        <w:tc>
          <w:tcPr>
            <w:tcW w:w="3537" w:type="dxa"/>
            <w:tcBorders>
              <w:tl2br w:val="nil"/>
              <w:tr2bl w:val="nil"/>
            </w:tcBorders>
            <w:noWrap w:val="0"/>
            <w:vAlign w:val="center"/>
          </w:tcPr>
          <w:p w14:paraId="2998D2BE">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《计量法》第十八条</w:t>
            </w:r>
          </w:p>
          <w:p w14:paraId="591445E3">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《全面推行我国法定计量单位的意见》</w:t>
            </w:r>
          </w:p>
          <w:p w14:paraId="7B9953E1">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w:t>
            </w:r>
            <w:r>
              <w:rPr>
                <w:rFonts w:hint="eastAsia" w:asciiTheme="minorEastAsia" w:hAnsiTheme="minorEastAsia" w:eastAsiaTheme="minorEastAsia" w:cstheme="minorEastAsia"/>
                <w:color w:val="auto"/>
                <w:spacing w:val="0"/>
                <w:sz w:val="21"/>
                <w:szCs w:val="21"/>
                <w:lang w:val="en-US" w:eastAsia="zh-CN"/>
              </w:rPr>
              <w:t>非法定计量单位限制使用管理办法</w:t>
            </w:r>
            <w:r>
              <w:rPr>
                <w:rFonts w:hint="eastAsia" w:asciiTheme="minorEastAsia" w:hAnsiTheme="minorEastAsia" w:eastAsiaTheme="minorEastAsia" w:cstheme="minorEastAsia"/>
                <w:color w:val="auto"/>
                <w:spacing w:val="0"/>
                <w:sz w:val="21"/>
                <w:szCs w:val="21"/>
                <w:lang w:eastAsia="zh-CN"/>
              </w:rPr>
              <w:t>》第四条、第九条</w:t>
            </w:r>
          </w:p>
        </w:tc>
        <w:tc>
          <w:tcPr>
            <w:tcW w:w="938" w:type="dxa"/>
            <w:tcBorders>
              <w:tl2br w:val="nil"/>
              <w:tr2bl w:val="nil"/>
            </w:tcBorders>
            <w:noWrap w:val="0"/>
            <w:vAlign w:val="center"/>
          </w:tcPr>
          <w:p w14:paraId="24E84177">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计量股、</w:t>
            </w:r>
            <w:r>
              <w:rPr>
                <w:rFonts w:hint="eastAsia" w:asciiTheme="minorEastAsia" w:hAnsiTheme="minorEastAsia" w:eastAsiaTheme="minorEastAsia" w:cstheme="minorEastAsia"/>
                <w:i w:val="0"/>
                <w:color w:val="auto"/>
                <w:spacing w:val="0"/>
                <w:kern w:val="0"/>
                <w:sz w:val="21"/>
                <w:szCs w:val="21"/>
                <w:u w:val="none"/>
                <w:lang w:val="en-US" w:eastAsia="zh-CN" w:bidi="ar"/>
              </w:rPr>
              <w:t>执法大队、市监所</w:t>
            </w:r>
          </w:p>
        </w:tc>
        <w:tc>
          <w:tcPr>
            <w:tcW w:w="825" w:type="dxa"/>
            <w:tcBorders>
              <w:tl2br w:val="nil"/>
              <w:tr2bl w:val="nil"/>
            </w:tcBorders>
            <w:noWrap w:val="0"/>
            <w:vAlign w:val="center"/>
          </w:tcPr>
          <w:p w14:paraId="7DC1A55A">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宣传出版、文化教育、市场交易等领域</w:t>
            </w:r>
            <w:r>
              <w:rPr>
                <w:rFonts w:hint="eastAsia" w:asciiTheme="minorEastAsia" w:hAnsiTheme="minorEastAsia" w:eastAsiaTheme="minorEastAsia" w:cstheme="minorEastAsia"/>
                <w:color w:val="auto"/>
                <w:spacing w:val="0"/>
                <w:sz w:val="21"/>
                <w:szCs w:val="21"/>
                <w:lang w:eastAsia="zh-CN"/>
              </w:rPr>
              <w:t>有关单位或组织</w:t>
            </w:r>
          </w:p>
        </w:tc>
        <w:tc>
          <w:tcPr>
            <w:tcW w:w="3737" w:type="dxa"/>
            <w:tcBorders>
              <w:tl2br w:val="nil"/>
              <w:tr2bl w:val="nil"/>
            </w:tcBorders>
            <w:noWrap w:val="0"/>
            <w:vAlign w:val="center"/>
          </w:tcPr>
          <w:p w14:paraId="6B90F6CF">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对</w:t>
            </w:r>
            <w:r>
              <w:rPr>
                <w:rFonts w:hint="eastAsia" w:asciiTheme="minorEastAsia" w:hAnsiTheme="minorEastAsia" w:eastAsiaTheme="minorEastAsia" w:cstheme="minorEastAsia"/>
                <w:color w:val="auto"/>
                <w:spacing w:val="0"/>
                <w:sz w:val="21"/>
                <w:szCs w:val="21"/>
              </w:rPr>
              <w:t>计量单位使用情况是否符合《中华人民共和国计量法》等相关法律法规的规定组织开展监督检查</w:t>
            </w:r>
            <w:r>
              <w:rPr>
                <w:rFonts w:hint="eastAsia" w:asciiTheme="minorEastAsia" w:hAnsiTheme="minorEastAsia" w:eastAsiaTheme="minorEastAsia" w:cstheme="minorEastAsia"/>
                <w:color w:val="auto"/>
                <w:spacing w:val="0"/>
                <w:sz w:val="21"/>
                <w:szCs w:val="21"/>
                <w:lang w:eastAsia="zh-CN"/>
              </w:rPr>
              <w:t>。</w:t>
            </w:r>
          </w:p>
        </w:tc>
        <w:tc>
          <w:tcPr>
            <w:tcW w:w="963" w:type="dxa"/>
            <w:tcBorders>
              <w:tl2br w:val="nil"/>
              <w:tr2bl w:val="nil"/>
            </w:tcBorders>
            <w:noWrap w:val="0"/>
            <w:vAlign w:val="center"/>
          </w:tcPr>
          <w:p w14:paraId="720BE6C6">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现场检查、</w:t>
            </w:r>
            <w:r>
              <w:rPr>
                <w:rFonts w:hint="eastAsia" w:asciiTheme="minorEastAsia" w:hAnsiTheme="minorEastAsia" w:eastAsiaTheme="minorEastAsia" w:cstheme="minorEastAsia"/>
                <w:color w:val="auto"/>
                <w:spacing w:val="0"/>
                <w:sz w:val="21"/>
                <w:szCs w:val="21"/>
                <w:lang w:eastAsia="zh-CN"/>
              </w:rPr>
              <w:t>非现场检查相结合</w:t>
            </w:r>
          </w:p>
        </w:tc>
        <w:tc>
          <w:tcPr>
            <w:tcW w:w="1175" w:type="dxa"/>
            <w:tcBorders>
              <w:tl2br w:val="nil"/>
              <w:tr2bl w:val="nil"/>
            </w:tcBorders>
            <w:noWrap w:val="0"/>
            <w:vAlign w:val="center"/>
          </w:tcPr>
          <w:p w14:paraId="4A46F821">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4001255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028C3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15" w:hRule="atLeast"/>
          <w:jc w:val="center"/>
        </w:trPr>
        <w:tc>
          <w:tcPr>
            <w:tcW w:w="546" w:type="dxa"/>
            <w:tcBorders>
              <w:tl2br w:val="nil"/>
              <w:tr2bl w:val="nil"/>
            </w:tcBorders>
            <w:noWrap w:val="0"/>
            <w:vAlign w:val="center"/>
          </w:tcPr>
          <w:p w14:paraId="45D317E2">
            <w:pPr>
              <w:pStyle w:val="10"/>
              <w:keepNext w:val="0"/>
              <w:keepLines w:val="0"/>
              <w:pageBreakBefore w:val="0"/>
              <w:widowControl w:val="0"/>
              <w:kinsoku/>
              <w:wordWrap/>
              <w:overflowPunct/>
              <w:topLinePunct w:val="0"/>
              <w:bidi w:val="0"/>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41</w:t>
            </w:r>
          </w:p>
        </w:tc>
        <w:tc>
          <w:tcPr>
            <w:tcW w:w="938" w:type="dxa"/>
            <w:tcBorders>
              <w:tl2br w:val="nil"/>
              <w:tr2bl w:val="nil"/>
            </w:tcBorders>
            <w:noWrap w:val="0"/>
            <w:vAlign w:val="center"/>
          </w:tcPr>
          <w:p w14:paraId="676D48F9">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定量包装商品净含量国家计量监督专项抽查</w:t>
            </w:r>
          </w:p>
        </w:tc>
        <w:tc>
          <w:tcPr>
            <w:tcW w:w="1200" w:type="dxa"/>
            <w:tcBorders>
              <w:tl2br w:val="nil"/>
              <w:tr2bl w:val="nil"/>
            </w:tcBorders>
            <w:noWrap w:val="0"/>
            <w:vAlign w:val="center"/>
          </w:tcPr>
          <w:p w14:paraId="1093CBC9">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县级以上市场监管部门</w:t>
            </w:r>
          </w:p>
        </w:tc>
        <w:tc>
          <w:tcPr>
            <w:tcW w:w="3537" w:type="dxa"/>
            <w:tcBorders>
              <w:tl2br w:val="nil"/>
              <w:tr2bl w:val="nil"/>
            </w:tcBorders>
            <w:noWrap w:val="0"/>
            <w:vAlign w:val="center"/>
          </w:tcPr>
          <w:p w14:paraId="22F41A77">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《计量法》第十八条</w:t>
            </w:r>
          </w:p>
          <w:p w14:paraId="7F9F9AD7">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《定量包装商品计量监督管理办法》</w:t>
            </w:r>
            <w:r>
              <w:rPr>
                <w:rFonts w:hint="eastAsia" w:asciiTheme="minorEastAsia" w:hAnsiTheme="minorEastAsia" w:eastAsiaTheme="minorEastAsia" w:cstheme="minorEastAsia"/>
                <w:color w:val="auto"/>
                <w:spacing w:val="0"/>
                <w:sz w:val="21"/>
                <w:szCs w:val="21"/>
                <w:lang w:eastAsia="zh-CN"/>
              </w:rPr>
              <w:t>第三条、第十二条</w:t>
            </w:r>
          </w:p>
        </w:tc>
        <w:tc>
          <w:tcPr>
            <w:tcW w:w="938" w:type="dxa"/>
            <w:tcBorders>
              <w:tl2br w:val="nil"/>
              <w:tr2bl w:val="nil"/>
            </w:tcBorders>
            <w:noWrap w:val="0"/>
            <w:vAlign w:val="center"/>
          </w:tcPr>
          <w:p w14:paraId="53F918D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计量股、</w:t>
            </w:r>
            <w:r>
              <w:rPr>
                <w:rFonts w:hint="eastAsia" w:asciiTheme="minorEastAsia" w:hAnsiTheme="minorEastAsia" w:eastAsiaTheme="minorEastAsia" w:cstheme="minorEastAsia"/>
                <w:i w:val="0"/>
                <w:color w:val="auto"/>
                <w:spacing w:val="0"/>
                <w:kern w:val="0"/>
                <w:sz w:val="21"/>
                <w:szCs w:val="21"/>
                <w:u w:val="none"/>
                <w:lang w:val="en-US" w:eastAsia="zh-CN" w:bidi="ar"/>
              </w:rPr>
              <w:t>执法大队、市监所</w:t>
            </w:r>
          </w:p>
        </w:tc>
        <w:tc>
          <w:tcPr>
            <w:tcW w:w="825" w:type="dxa"/>
            <w:tcBorders>
              <w:tl2br w:val="nil"/>
              <w:tr2bl w:val="nil"/>
            </w:tcBorders>
            <w:noWrap w:val="0"/>
            <w:vAlign w:val="center"/>
          </w:tcPr>
          <w:p w14:paraId="64A87BBB">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定量包装商品生产、销售企业（门店）</w:t>
            </w:r>
          </w:p>
        </w:tc>
        <w:tc>
          <w:tcPr>
            <w:tcW w:w="3737" w:type="dxa"/>
            <w:tcBorders>
              <w:tl2br w:val="nil"/>
              <w:tr2bl w:val="nil"/>
            </w:tcBorders>
            <w:noWrap w:val="0"/>
            <w:vAlign w:val="center"/>
          </w:tcPr>
          <w:p w14:paraId="6159937A">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检查</w:t>
            </w:r>
            <w:r>
              <w:rPr>
                <w:rFonts w:hint="eastAsia" w:asciiTheme="minorEastAsia" w:hAnsiTheme="minorEastAsia" w:eastAsiaTheme="minorEastAsia" w:cstheme="minorEastAsia"/>
                <w:color w:val="auto"/>
                <w:spacing w:val="0"/>
                <w:sz w:val="21"/>
                <w:szCs w:val="21"/>
              </w:rPr>
              <w:t>定量包装商品净含量、净含量标注情况。</w:t>
            </w:r>
          </w:p>
        </w:tc>
        <w:tc>
          <w:tcPr>
            <w:tcW w:w="963" w:type="dxa"/>
            <w:tcBorders>
              <w:tl2br w:val="nil"/>
              <w:tr2bl w:val="nil"/>
            </w:tcBorders>
            <w:noWrap w:val="0"/>
            <w:vAlign w:val="center"/>
          </w:tcPr>
          <w:p w14:paraId="305D13E5">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非现场检查</w:t>
            </w:r>
          </w:p>
        </w:tc>
        <w:tc>
          <w:tcPr>
            <w:tcW w:w="1175" w:type="dxa"/>
            <w:tcBorders>
              <w:tl2br w:val="nil"/>
              <w:tr2bl w:val="nil"/>
            </w:tcBorders>
            <w:noWrap w:val="0"/>
            <w:vAlign w:val="center"/>
          </w:tcPr>
          <w:p w14:paraId="1936E7CC">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183DAE55">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002D2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28" w:hRule="atLeast"/>
          <w:jc w:val="center"/>
        </w:trPr>
        <w:tc>
          <w:tcPr>
            <w:tcW w:w="546" w:type="dxa"/>
            <w:tcBorders>
              <w:tl2br w:val="nil"/>
              <w:tr2bl w:val="nil"/>
            </w:tcBorders>
            <w:noWrap w:val="0"/>
            <w:vAlign w:val="center"/>
          </w:tcPr>
          <w:p w14:paraId="62C37910">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42</w:t>
            </w:r>
          </w:p>
        </w:tc>
        <w:tc>
          <w:tcPr>
            <w:tcW w:w="938" w:type="dxa"/>
            <w:tcBorders>
              <w:tl2br w:val="nil"/>
              <w:tr2bl w:val="nil"/>
            </w:tcBorders>
            <w:noWrap w:val="0"/>
            <w:vAlign w:val="center"/>
          </w:tcPr>
          <w:p w14:paraId="0E6B372C">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型式批准监督检查</w:t>
            </w:r>
          </w:p>
        </w:tc>
        <w:tc>
          <w:tcPr>
            <w:tcW w:w="1200" w:type="dxa"/>
            <w:tcBorders>
              <w:tl2br w:val="nil"/>
              <w:tr2bl w:val="nil"/>
            </w:tcBorders>
            <w:noWrap w:val="0"/>
            <w:vAlign w:val="center"/>
          </w:tcPr>
          <w:p w14:paraId="3D30E697">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县级以上市场监管部门</w:t>
            </w:r>
          </w:p>
        </w:tc>
        <w:tc>
          <w:tcPr>
            <w:tcW w:w="3537" w:type="dxa"/>
            <w:tcBorders>
              <w:tl2br w:val="nil"/>
              <w:tr2bl w:val="nil"/>
            </w:tcBorders>
            <w:noWrap w:val="0"/>
            <w:vAlign w:val="center"/>
          </w:tcPr>
          <w:p w14:paraId="2F250DCA">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《计量法》第十八条</w:t>
            </w:r>
          </w:p>
          <w:p w14:paraId="62BCC0E8">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《计量法实施细则》第十八条</w:t>
            </w:r>
          </w:p>
          <w:p w14:paraId="3BD42C16">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《计量器具新产品管理办法》第十</w:t>
            </w:r>
            <w:r>
              <w:rPr>
                <w:rFonts w:hint="eastAsia" w:asciiTheme="minorEastAsia" w:hAnsiTheme="minorEastAsia" w:eastAsiaTheme="minorEastAsia" w:cstheme="minorEastAsia"/>
                <w:color w:val="auto"/>
                <w:spacing w:val="0"/>
                <w:sz w:val="21"/>
                <w:szCs w:val="21"/>
                <w:lang w:eastAsia="zh-CN"/>
              </w:rPr>
              <w:t>九</w:t>
            </w:r>
            <w:r>
              <w:rPr>
                <w:rFonts w:hint="eastAsia" w:asciiTheme="minorEastAsia" w:hAnsiTheme="minorEastAsia" w:eastAsiaTheme="minorEastAsia" w:cstheme="minorEastAsia"/>
                <w:color w:val="auto"/>
                <w:spacing w:val="0"/>
                <w:sz w:val="21"/>
                <w:szCs w:val="21"/>
              </w:rPr>
              <w:t>条</w:t>
            </w:r>
          </w:p>
        </w:tc>
        <w:tc>
          <w:tcPr>
            <w:tcW w:w="938" w:type="dxa"/>
            <w:tcBorders>
              <w:tl2br w:val="nil"/>
              <w:tr2bl w:val="nil"/>
            </w:tcBorders>
            <w:noWrap w:val="0"/>
            <w:vAlign w:val="center"/>
          </w:tcPr>
          <w:p w14:paraId="74E95352">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计量股、</w:t>
            </w:r>
            <w:r>
              <w:rPr>
                <w:rFonts w:hint="eastAsia" w:asciiTheme="minorEastAsia" w:hAnsiTheme="minorEastAsia" w:eastAsiaTheme="minorEastAsia" w:cstheme="minorEastAsia"/>
                <w:i w:val="0"/>
                <w:color w:val="auto"/>
                <w:spacing w:val="0"/>
                <w:kern w:val="0"/>
                <w:sz w:val="21"/>
                <w:szCs w:val="21"/>
                <w:u w:val="none"/>
                <w:lang w:val="en-US" w:eastAsia="zh-CN" w:bidi="ar"/>
              </w:rPr>
              <w:t>执法大队、市监所</w:t>
            </w:r>
          </w:p>
        </w:tc>
        <w:tc>
          <w:tcPr>
            <w:tcW w:w="825" w:type="dxa"/>
            <w:tcBorders>
              <w:tl2br w:val="nil"/>
              <w:tr2bl w:val="nil"/>
            </w:tcBorders>
            <w:noWrap w:val="0"/>
            <w:vAlign w:val="center"/>
          </w:tcPr>
          <w:p w14:paraId="28F21518">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型式批准获证企业</w:t>
            </w:r>
          </w:p>
        </w:tc>
        <w:tc>
          <w:tcPr>
            <w:tcW w:w="3737" w:type="dxa"/>
            <w:tcBorders>
              <w:tl2br w:val="nil"/>
              <w:tr2bl w:val="nil"/>
            </w:tcBorders>
            <w:noWrap w:val="0"/>
            <w:vAlign w:val="center"/>
          </w:tcPr>
          <w:p w14:paraId="5E6F4C9A">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val="en-US" w:eastAsia="zh-CN"/>
              </w:rPr>
              <w:t>检查获证企业是否持续符合型式批准条件，具有与所制造的计量器具相适应的设施、人员和检定仪器设备；是否存在制造、销售未经型式批准的计量器具的行为；是否未经出厂检定或者经检定不合格仍出厂；是否擅自改变原批准的型式等。</w:t>
            </w:r>
          </w:p>
        </w:tc>
        <w:tc>
          <w:tcPr>
            <w:tcW w:w="963" w:type="dxa"/>
            <w:tcBorders>
              <w:tl2br w:val="nil"/>
              <w:tr2bl w:val="nil"/>
            </w:tcBorders>
            <w:noWrap w:val="0"/>
            <w:vAlign w:val="center"/>
          </w:tcPr>
          <w:p w14:paraId="47812F73">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现场检查、</w:t>
            </w:r>
            <w:r>
              <w:rPr>
                <w:rFonts w:hint="eastAsia" w:asciiTheme="minorEastAsia" w:hAnsiTheme="minorEastAsia" w:eastAsiaTheme="minorEastAsia" w:cstheme="minorEastAsia"/>
                <w:color w:val="auto"/>
                <w:spacing w:val="0"/>
                <w:sz w:val="21"/>
                <w:szCs w:val="21"/>
                <w:lang w:eastAsia="zh-CN"/>
              </w:rPr>
              <w:t>非现场检查相结合</w:t>
            </w:r>
          </w:p>
        </w:tc>
        <w:tc>
          <w:tcPr>
            <w:tcW w:w="1175" w:type="dxa"/>
            <w:tcBorders>
              <w:tl2br w:val="nil"/>
              <w:tr2bl w:val="nil"/>
            </w:tcBorders>
            <w:noWrap w:val="0"/>
            <w:vAlign w:val="center"/>
          </w:tcPr>
          <w:p w14:paraId="29B3047D">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6FA29DC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59108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30" w:hRule="atLeast"/>
          <w:jc w:val="center"/>
        </w:trPr>
        <w:tc>
          <w:tcPr>
            <w:tcW w:w="546" w:type="dxa"/>
            <w:tcBorders>
              <w:tl2br w:val="nil"/>
              <w:tr2bl w:val="nil"/>
            </w:tcBorders>
            <w:noWrap w:val="0"/>
            <w:vAlign w:val="center"/>
          </w:tcPr>
          <w:p w14:paraId="0282F7F3">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43</w:t>
            </w:r>
          </w:p>
        </w:tc>
        <w:tc>
          <w:tcPr>
            <w:tcW w:w="938" w:type="dxa"/>
            <w:tcBorders>
              <w:tl2br w:val="nil"/>
              <w:tr2bl w:val="nil"/>
            </w:tcBorders>
            <w:noWrap w:val="0"/>
            <w:vAlign w:val="center"/>
          </w:tcPr>
          <w:p w14:paraId="096D4F04">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能效</w:t>
            </w:r>
            <w:r>
              <w:rPr>
                <w:rFonts w:hint="eastAsia" w:asciiTheme="minorEastAsia" w:hAnsiTheme="minorEastAsia" w:eastAsiaTheme="minorEastAsia" w:cstheme="minorEastAsia"/>
                <w:color w:val="auto"/>
                <w:spacing w:val="0"/>
                <w:sz w:val="21"/>
                <w:szCs w:val="21"/>
                <w:lang w:eastAsia="zh-CN"/>
              </w:rPr>
              <w:t>、</w:t>
            </w:r>
            <w:r>
              <w:rPr>
                <w:rFonts w:hint="eastAsia" w:asciiTheme="minorEastAsia" w:hAnsiTheme="minorEastAsia" w:eastAsiaTheme="minorEastAsia" w:cstheme="minorEastAsia"/>
                <w:color w:val="auto"/>
                <w:spacing w:val="0"/>
                <w:sz w:val="21"/>
                <w:szCs w:val="21"/>
                <w:lang w:val="en-US" w:eastAsia="zh-CN"/>
              </w:rPr>
              <w:t>水效</w:t>
            </w:r>
            <w:r>
              <w:rPr>
                <w:rFonts w:hint="eastAsia" w:asciiTheme="minorEastAsia" w:hAnsiTheme="minorEastAsia" w:eastAsiaTheme="minorEastAsia" w:cstheme="minorEastAsia"/>
                <w:color w:val="auto"/>
                <w:spacing w:val="0"/>
                <w:sz w:val="21"/>
                <w:szCs w:val="21"/>
              </w:rPr>
              <w:t>标识计量专项监督检查</w:t>
            </w:r>
          </w:p>
        </w:tc>
        <w:tc>
          <w:tcPr>
            <w:tcW w:w="1200" w:type="dxa"/>
            <w:tcBorders>
              <w:tl2br w:val="nil"/>
              <w:tr2bl w:val="nil"/>
            </w:tcBorders>
            <w:noWrap w:val="0"/>
            <w:vAlign w:val="center"/>
          </w:tcPr>
          <w:p w14:paraId="77EFCFA6">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省级以下</w:t>
            </w:r>
            <w:r>
              <w:rPr>
                <w:rFonts w:hint="eastAsia" w:asciiTheme="minorEastAsia" w:hAnsiTheme="minorEastAsia" w:eastAsiaTheme="minorEastAsia" w:cstheme="minorEastAsia"/>
                <w:color w:val="auto"/>
                <w:spacing w:val="0"/>
                <w:sz w:val="21"/>
                <w:szCs w:val="21"/>
              </w:rPr>
              <w:t>市场监管部门</w:t>
            </w:r>
          </w:p>
        </w:tc>
        <w:tc>
          <w:tcPr>
            <w:tcW w:w="3537" w:type="dxa"/>
            <w:tcBorders>
              <w:tl2br w:val="nil"/>
              <w:tr2bl w:val="nil"/>
            </w:tcBorders>
            <w:noWrap w:val="0"/>
            <w:vAlign w:val="center"/>
          </w:tcPr>
          <w:p w14:paraId="22FBDC0E">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《节约能源法》</w:t>
            </w:r>
            <w:r>
              <w:rPr>
                <w:rFonts w:hint="eastAsia" w:asciiTheme="minorEastAsia" w:hAnsiTheme="minorEastAsia" w:eastAsiaTheme="minorEastAsia" w:cstheme="minorEastAsia"/>
                <w:color w:val="auto"/>
                <w:spacing w:val="0"/>
                <w:sz w:val="21"/>
                <w:szCs w:val="21"/>
                <w:lang w:eastAsia="zh-CN"/>
              </w:rPr>
              <w:t>第十二条、</w:t>
            </w:r>
            <w:r>
              <w:rPr>
                <w:rFonts w:hint="eastAsia" w:asciiTheme="minorEastAsia" w:hAnsiTheme="minorEastAsia" w:eastAsiaTheme="minorEastAsia" w:cstheme="minorEastAsia"/>
                <w:color w:val="auto"/>
                <w:spacing w:val="0"/>
                <w:sz w:val="21"/>
                <w:szCs w:val="21"/>
              </w:rPr>
              <w:t>第七十三条</w:t>
            </w:r>
          </w:p>
          <w:p w14:paraId="24C4A053">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《能源计量监督管理办法》第十六条</w:t>
            </w:r>
          </w:p>
          <w:p w14:paraId="49BEF8F5">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《能源效率标识管理办法》</w:t>
            </w:r>
            <w:r>
              <w:rPr>
                <w:rFonts w:hint="eastAsia" w:asciiTheme="minorEastAsia" w:hAnsiTheme="minorEastAsia" w:eastAsiaTheme="minorEastAsia" w:cstheme="minorEastAsia"/>
                <w:color w:val="auto"/>
                <w:spacing w:val="0"/>
                <w:sz w:val="21"/>
                <w:szCs w:val="21"/>
                <w:lang w:eastAsia="zh-CN"/>
              </w:rPr>
              <w:t>第四条、</w:t>
            </w:r>
            <w:r>
              <w:rPr>
                <w:rFonts w:hint="eastAsia" w:asciiTheme="minorEastAsia" w:hAnsiTheme="minorEastAsia" w:eastAsiaTheme="minorEastAsia" w:cstheme="minorEastAsia"/>
                <w:color w:val="auto"/>
                <w:spacing w:val="0"/>
                <w:sz w:val="21"/>
                <w:szCs w:val="21"/>
              </w:rPr>
              <w:t>第十八条</w:t>
            </w:r>
          </w:p>
        </w:tc>
        <w:tc>
          <w:tcPr>
            <w:tcW w:w="938" w:type="dxa"/>
            <w:tcBorders>
              <w:tl2br w:val="nil"/>
              <w:tr2bl w:val="nil"/>
            </w:tcBorders>
            <w:noWrap w:val="0"/>
            <w:vAlign w:val="center"/>
          </w:tcPr>
          <w:p w14:paraId="4354D8AF">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计量股、</w:t>
            </w:r>
            <w:r>
              <w:rPr>
                <w:rFonts w:hint="eastAsia" w:asciiTheme="minorEastAsia" w:hAnsiTheme="minorEastAsia" w:eastAsiaTheme="minorEastAsia" w:cstheme="minorEastAsia"/>
                <w:i w:val="0"/>
                <w:color w:val="auto"/>
                <w:spacing w:val="0"/>
                <w:kern w:val="0"/>
                <w:sz w:val="21"/>
                <w:szCs w:val="21"/>
                <w:u w:val="none"/>
                <w:lang w:val="en-US" w:eastAsia="zh-CN" w:bidi="ar"/>
              </w:rPr>
              <w:t>执法大队、市监所</w:t>
            </w:r>
          </w:p>
        </w:tc>
        <w:tc>
          <w:tcPr>
            <w:tcW w:w="825" w:type="dxa"/>
            <w:tcBorders>
              <w:tl2br w:val="nil"/>
              <w:tr2bl w:val="nil"/>
            </w:tcBorders>
            <w:noWrap w:val="0"/>
            <w:vAlign w:val="center"/>
          </w:tcPr>
          <w:p w14:paraId="6CC3E523">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能效、</w:t>
            </w:r>
            <w:r>
              <w:rPr>
                <w:rFonts w:hint="eastAsia" w:asciiTheme="minorEastAsia" w:hAnsiTheme="minorEastAsia" w:eastAsiaTheme="minorEastAsia" w:cstheme="minorEastAsia"/>
                <w:color w:val="auto"/>
                <w:spacing w:val="0"/>
                <w:sz w:val="21"/>
                <w:szCs w:val="21"/>
                <w:lang w:val="en-US" w:eastAsia="zh-CN"/>
              </w:rPr>
              <w:t>水效</w:t>
            </w:r>
            <w:r>
              <w:rPr>
                <w:rFonts w:hint="eastAsia" w:asciiTheme="minorEastAsia" w:hAnsiTheme="minorEastAsia" w:eastAsiaTheme="minorEastAsia" w:cstheme="minorEastAsia"/>
                <w:color w:val="auto"/>
                <w:spacing w:val="0"/>
                <w:sz w:val="21"/>
                <w:szCs w:val="21"/>
                <w:lang w:eastAsia="zh-CN"/>
              </w:rPr>
              <w:t>标识产品生产企业、销售</w:t>
            </w:r>
            <w:r>
              <w:rPr>
                <w:rFonts w:hint="eastAsia" w:asciiTheme="minorEastAsia" w:hAnsiTheme="minorEastAsia" w:eastAsiaTheme="minorEastAsia" w:cstheme="minorEastAsia"/>
                <w:color w:val="auto"/>
                <w:spacing w:val="0"/>
                <w:sz w:val="21"/>
                <w:szCs w:val="21"/>
              </w:rPr>
              <w:t>企业</w:t>
            </w:r>
            <w:r>
              <w:rPr>
                <w:rFonts w:hint="eastAsia" w:asciiTheme="minorEastAsia" w:hAnsiTheme="minorEastAsia" w:eastAsiaTheme="minorEastAsia" w:cstheme="minorEastAsia"/>
                <w:color w:val="auto"/>
                <w:spacing w:val="0"/>
                <w:sz w:val="21"/>
                <w:szCs w:val="21"/>
                <w:lang w:eastAsia="zh-CN"/>
              </w:rPr>
              <w:t>（门店）</w:t>
            </w:r>
          </w:p>
        </w:tc>
        <w:tc>
          <w:tcPr>
            <w:tcW w:w="3737" w:type="dxa"/>
            <w:tcBorders>
              <w:tl2br w:val="nil"/>
              <w:tr2bl w:val="nil"/>
            </w:tcBorders>
            <w:noWrap w:val="0"/>
            <w:vAlign w:val="center"/>
          </w:tcPr>
          <w:p w14:paraId="01CDD8EE">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检查列入《中华人民共和国实行能源效率标识的产品目录》</w:t>
            </w:r>
            <w:r>
              <w:rPr>
                <w:rFonts w:hint="eastAsia" w:asciiTheme="minorEastAsia" w:hAnsiTheme="minorEastAsia" w:eastAsiaTheme="minorEastAsia" w:cstheme="minorEastAsia"/>
                <w:color w:val="auto"/>
                <w:spacing w:val="0"/>
                <w:sz w:val="21"/>
                <w:szCs w:val="21"/>
                <w:lang w:eastAsia="zh-CN"/>
              </w:rPr>
              <w:t>、</w:t>
            </w:r>
            <w:r>
              <w:rPr>
                <w:rFonts w:hint="eastAsia" w:asciiTheme="minorEastAsia" w:hAnsiTheme="minorEastAsia" w:eastAsiaTheme="minorEastAsia" w:cstheme="minorEastAsia"/>
                <w:color w:val="auto"/>
                <w:spacing w:val="0"/>
                <w:sz w:val="21"/>
                <w:szCs w:val="21"/>
              </w:rPr>
              <w:t>《中华人民共和国实行水效标识的产品目录》的产品是否按有关标准和实施规则的要求标注能效标识；使用的能效标识是否符合有关样式、规格等标注规定（包括是否符合网络交易产品能效标识展示要求）；是否办理能效标识备案；是否存在伪造冒用能效标识或者利用能效标识进行虚假宣传的行为。</w:t>
            </w:r>
          </w:p>
        </w:tc>
        <w:tc>
          <w:tcPr>
            <w:tcW w:w="963" w:type="dxa"/>
            <w:tcBorders>
              <w:tl2br w:val="nil"/>
              <w:tr2bl w:val="nil"/>
            </w:tcBorders>
            <w:noWrap w:val="0"/>
            <w:vAlign w:val="center"/>
          </w:tcPr>
          <w:p w14:paraId="184DAC16">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非现场检查</w:t>
            </w:r>
          </w:p>
        </w:tc>
        <w:tc>
          <w:tcPr>
            <w:tcW w:w="1175" w:type="dxa"/>
            <w:tcBorders>
              <w:tl2br w:val="nil"/>
              <w:tr2bl w:val="nil"/>
            </w:tcBorders>
            <w:noWrap w:val="0"/>
            <w:vAlign w:val="center"/>
          </w:tcPr>
          <w:p w14:paraId="79089E4D">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2B7EFF87">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627AD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30" w:hRule="atLeast"/>
          <w:jc w:val="center"/>
        </w:trPr>
        <w:tc>
          <w:tcPr>
            <w:tcW w:w="546" w:type="dxa"/>
            <w:tcBorders>
              <w:tl2br w:val="nil"/>
              <w:tr2bl w:val="nil"/>
            </w:tcBorders>
            <w:noWrap w:val="0"/>
            <w:vAlign w:val="center"/>
          </w:tcPr>
          <w:p w14:paraId="72E15A91">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44</w:t>
            </w:r>
          </w:p>
        </w:tc>
        <w:tc>
          <w:tcPr>
            <w:tcW w:w="938" w:type="dxa"/>
            <w:tcBorders>
              <w:tl2br w:val="nil"/>
              <w:tr2bl w:val="nil"/>
            </w:tcBorders>
            <w:noWrap w:val="0"/>
            <w:vAlign w:val="center"/>
          </w:tcPr>
          <w:p w14:paraId="19F47994">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对</w:t>
            </w:r>
            <w:r>
              <w:rPr>
                <w:rFonts w:hint="eastAsia" w:asciiTheme="minorEastAsia" w:hAnsiTheme="minorEastAsia" w:eastAsiaTheme="minorEastAsia" w:cstheme="minorEastAsia"/>
                <w:color w:val="auto"/>
                <w:spacing w:val="0"/>
                <w:sz w:val="21"/>
                <w:szCs w:val="21"/>
                <w:lang w:val="en-US" w:eastAsia="zh-CN"/>
              </w:rPr>
              <w:t>重点能耗企业</w:t>
            </w:r>
            <w:r>
              <w:rPr>
                <w:rFonts w:hint="eastAsia" w:asciiTheme="minorEastAsia" w:hAnsiTheme="minorEastAsia" w:eastAsiaTheme="minorEastAsia" w:cstheme="minorEastAsia"/>
                <w:color w:val="auto"/>
                <w:spacing w:val="0"/>
                <w:sz w:val="21"/>
                <w:szCs w:val="21"/>
              </w:rPr>
              <w:t>计量情况的行政检查</w:t>
            </w:r>
          </w:p>
        </w:tc>
        <w:tc>
          <w:tcPr>
            <w:tcW w:w="1200" w:type="dxa"/>
            <w:tcBorders>
              <w:tl2br w:val="nil"/>
              <w:tr2bl w:val="nil"/>
            </w:tcBorders>
            <w:noWrap w:val="0"/>
            <w:vAlign w:val="center"/>
          </w:tcPr>
          <w:p w14:paraId="7B716305">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市场监督</w:t>
            </w:r>
          </w:p>
          <w:p w14:paraId="0DABD22C">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管理部门</w:t>
            </w:r>
          </w:p>
          <w:p w14:paraId="18791765">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（省级、设区的市级或县级）</w:t>
            </w:r>
          </w:p>
        </w:tc>
        <w:tc>
          <w:tcPr>
            <w:tcW w:w="3537" w:type="dxa"/>
            <w:tcBorders>
              <w:tl2br w:val="nil"/>
              <w:tr2bl w:val="nil"/>
            </w:tcBorders>
            <w:noWrap w:val="0"/>
            <w:vAlign w:val="center"/>
          </w:tcPr>
          <w:p w14:paraId="1EE870DA">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1.《能源计量监督管理办法》(根据2020年10月23日国家市场监督管理总局令第31号修订)</w:t>
            </w:r>
          </w:p>
          <w:p w14:paraId="3B44BC9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tc>
        <w:tc>
          <w:tcPr>
            <w:tcW w:w="938" w:type="dxa"/>
            <w:tcBorders>
              <w:tl2br w:val="nil"/>
              <w:tr2bl w:val="nil"/>
            </w:tcBorders>
            <w:noWrap w:val="0"/>
            <w:vAlign w:val="center"/>
          </w:tcPr>
          <w:p w14:paraId="68145D1B">
            <w:pPr>
              <w:keepNext w:val="0"/>
              <w:keepLines w:val="0"/>
              <w:pageBreakBefore w:val="0"/>
              <w:widowControl w:val="0"/>
              <w:suppressLineNumbers w:val="0"/>
              <w:kinsoku/>
              <w:wordWrap/>
              <w:overflowPunct/>
              <w:topLinePunct w:val="0"/>
              <w:bidi w:val="0"/>
              <w:snapToGrid/>
              <w:spacing w:line="36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计量股、</w:t>
            </w:r>
            <w:r>
              <w:rPr>
                <w:rFonts w:hint="eastAsia" w:asciiTheme="minorEastAsia" w:hAnsiTheme="minorEastAsia" w:eastAsiaTheme="minorEastAsia" w:cstheme="minorEastAsia"/>
                <w:i w:val="0"/>
                <w:color w:val="auto"/>
                <w:spacing w:val="0"/>
                <w:kern w:val="0"/>
                <w:sz w:val="21"/>
                <w:szCs w:val="21"/>
                <w:u w:val="none"/>
                <w:lang w:val="en-US" w:eastAsia="zh-CN" w:bidi="ar"/>
              </w:rPr>
              <w:t>执法大队、市监所</w:t>
            </w:r>
          </w:p>
        </w:tc>
        <w:tc>
          <w:tcPr>
            <w:tcW w:w="825" w:type="dxa"/>
            <w:tcBorders>
              <w:tl2br w:val="nil"/>
              <w:tr2bl w:val="nil"/>
            </w:tcBorders>
            <w:noWrap w:val="0"/>
            <w:vAlign w:val="center"/>
          </w:tcPr>
          <w:p w14:paraId="37D1A92F">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能源标识产品生产企业、销售</w:t>
            </w:r>
            <w:r>
              <w:rPr>
                <w:rFonts w:hint="eastAsia" w:asciiTheme="minorEastAsia" w:hAnsiTheme="minorEastAsia" w:eastAsiaTheme="minorEastAsia" w:cstheme="minorEastAsia"/>
                <w:color w:val="auto"/>
                <w:spacing w:val="0"/>
                <w:sz w:val="21"/>
                <w:szCs w:val="21"/>
              </w:rPr>
              <w:t>企业</w:t>
            </w:r>
            <w:r>
              <w:rPr>
                <w:rFonts w:hint="eastAsia" w:asciiTheme="minorEastAsia" w:hAnsiTheme="minorEastAsia" w:eastAsiaTheme="minorEastAsia" w:cstheme="minorEastAsia"/>
                <w:color w:val="auto"/>
                <w:spacing w:val="0"/>
                <w:sz w:val="21"/>
                <w:szCs w:val="21"/>
                <w:lang w:eastAsia="zh-CN"/>
              </w:rPr>
              <w:t>（门店）</w:t>
            </w:r>
          </w:p>
        </w:tc>
        <w:tc>
          <w:tcPr>
            <w:tcW w:w="3737" w:type="dxa"/>
            <w:tcBorders>
              <w:tl2br w:val="nil"/>
              <w:tr2bl w:val="nil"/>
            </w:tcBorders>
            <w:noWrap w:val="0"/>
            <w:vAlign w:val="center"/>
          </w:tcPr>
          <w:p w14:paraId="2EF78253">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检查列入《能源计量监督管理办法》的产品是否按有关标准和实施规则的要求标注</w:t>
            </w:r>
            <w:r>
              <w:rPr>
                <w:rFonts w:hint="eastAsia" w:asciiTheme="minorEastAsia" w:hAnsiTheme="minorEastAsia" w:eastAsiaTheme="minorEastAsia" w:cstheme="minorEastAsia"/>
                <w:color w:val="auto"/>
                <w:spacing w:val="0"/>
                <w:sz w:val="21"/>
                <w:szCs w:val="21"/>
                <w:highlight w:val="none"/>
                <w:lang w:eastAsia="zh-CN"/>
              </w:rPr>
              <w:t>能源</w:t>
            </w:r>
            <w:r>
              <w:rPr>
                <w:rFonts w:hint="eastAsia" w:asciiTheme="minorEastAsia" w:hAnsiTheme="minorEastAsia" w:eastAsiaTheme="minorEastAsia" w:cstheme="minorEastAsia"/>
                <w:color w:val="auto"/>
                <w:spacing w:val="0"/>
                <w:sz w:val="21"/>
                <w:szCs w:val="21"/>
                <w:highlight w:val="none"/>
              </w:rPr>
              <w:t>标识；使用的能</w:t>
            </w:r>
            <w:r>
              <w:rPr>
                <w:rFonts w:hint="eastAsia" w:asciiTheme="minorEastAsia" w:hAnsiTheme="minorEastAsia" w:eastAsiaTheme="minorEastAsia" w:cstheme="minorEastAsia"/>
                <w:color w:val="auto"/>
                <w:spacing w:val="0"/>
                <w:sz w:val="21"/>
                <w:szCs w:val="21"/>
                <w:highlight w:val="none"/>
                <w:lang w:eastAsia="zh-CN"/>
              </w:rPr>
              <w:t>源</w:t>
            </w:r>
            <w:r>
              <w:rPr>
                <w:rFonts w:hint="eastAsia" w:asciiTheme="minorEastAsia" w:hAnsiTheme="minorEastAsia" w:eastAsiaTheme="minorEastAsia" w:cstheme="minorEastAsia"/>
                <w:color w:val="auto"/>
                <w:spacing w:val="0"/>
                <w:sz w:val="21"/>
                <w:szCs w:val="21"/>
                <w:highlight w:val="none"/>
              </w:rPr>
              <w:t>标识是否符合有关样式、规格等标注规定（包括是否符合网络交易产品能效标识展示要求）；是否办理能</w:t>
            </w:r>
            <w:r>
              <w:rPr>
                <w:rFonts w:hint="eastAsia" w:asciiTheme="minorEastAsia" w:hAnsiTheme="minorEastAsia" w:eastAsiaTheme="minorEastAsia" w:cstheme="minorEastAsia"/>
                <w:color w:val="auto"/>
                <w:spacing w:val="0"/>
                <w:sz w:val="21"/>
                <w:szCs w:val="21"/>
                <w:highlight w:val="none"/>
                <w:lang w:eastAsia="zh-CN"/>
              </w:rPr>
              <w:t>源</w:t>
            </w:r>
            <w:r>
              <w:rPr>
                <w:rFonts w:hint="eastAsia" w:asciiTheme="minorEastAsia" w:hAnsiTheme="minorEastAsia" w:eastAsiaTheme="minorEastAsia" w:cstheme="minorEastAsia"/>
                <w:color w:val="auto"/>
                <w:spacing w:val="0"/>
                <w:sz w:val="21"/>
                <w:szCs w:val="21"/>
                <w:highlight w:val="none"/>
              </w:rPr>
              <w:t>标识备案；是否存在伪造冒用能</w:t>
            </w:r>
            <w:r>
              <w:rPr>
                <w:rFonts w:hint="eastAsia" w:asciiTheme="minorEastAsia" w:hAnsiTheme="minorEastAsia" w:eastAsiaTheme="minorEastAsia" w:cstheme="minorEastAsia"/>
                <w:color w:val="auto"/>
                <w:spacing w:val="0"/>
                <w:sz w:val="21"/>
                <w:szCs w:val="21"/>
                <w:highlight w:val="none"/>
                <w:lang w:eastAsia="zh-CN"/>
              </w:rPr>
              <w:t>源</w:t>
            </w:r>
            <w:r>
              <w:rPr>
                <w:rFonts w:hint="eastAsia" w:asciiTheme="minorEastAsia" w:hAnsiTheme="minorEastAsia" w:eastAsiaTheme="minorEastAsia" w:cstheme="minorEastAsia"/>
                <w:color w:val="auto"/>
                <w:spacing w:val="0"/>
                <w:sz w:val="21"/>
                <w:szCs w:val="21"/>
                <w:highlight w:val="none"/>
              </w:rPr>
              <w:t>标识或者利用能</w:t>
            </w:r>
            <w:r>
              <w:rPr>
                <w:rFonts w:hint="eastAsia" w:asciiTheme="minorEastAsia" w:hAnsiTheme="minorEastAsia" w:eastAsiaTheme="minorEastAsia" w:cstheme="minorEastAsia"/>
                <w:color w:val="auto"/>
                <w:spacing w:val="0"/>
                <w:sz w:val="21"/>
                <w:szCs w:val="21"/>
                <w:highlight w:val="none"/>
                <w:lang w:eastAsia="zh-CN"/>
              </w:rPr>
              <w:t>源</w:t>
            </w:r>
            <w:r>
              <w:rPr>
                <w:rFonts w:hint="eastAsia" w:asciiTheme="minorEastAsia" w:hAnsiTheme="minorEastAsia" w:eastAsiaTheme="minorEastAsia" w:cstheme="minorEastAsia"/>
                <w:color w:val="auto"/>
                <w:spacing w:val="0"/>
                <w:sz w:val="21"/>
                <w:szCs w:val="21"/>
                <w:highlight w:val="none"/>
              </w:rPr>
              <w:t>标识进行虚假宣传的行为。</w:t>
            </w:r>
          </w:p>
        </w:tc>
        <w:tc>
          <w:tcPr>
            <w:tcW w:w="963" w:type="dxa"/>
            <w:tcBorders>
              <w:tl2br w:val="nil"/>
              <w:tr2bl w:val="nil"/>
            </w:tcBorders>
            <w:noWrap w:val="0"/>
            <w:vAlign w:val="center"/>
          </w:tcPr>
          <w:p w14:paraId="7A23A0F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现场检查、非现场检查相结合</w:t>
            </w:r>
          </w:p>
        </w:tc>
        <w:tc>
          <w:tcPr>
            <w:tcW w:w="1175" w:type="dxa"/>
            <w:tcBorders>
              <w:tl2br w:val="nil"/>
              <w:tr2bl w:val="nil"/>
            </w:tcBorders>
            <w:noWrap w:val="0"/>
            <w:vAlign w:val="center"/>
          </w:tcPr>
          <w:p w14:paraId="61B38206">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按本单位每年3月底前报经同级司法行政部门备案审查的涉企年度行政检查计划执行</w:t>
            </w:r>
          </w:p>
        </w:tc>
        <w:tc>
          <w:tcPr>
            <w:tcW w:w="1994" w:type="dxa"/>
            <w:tcBorders>
              <w:tl2br w:val="nil"/>
              <w:tr2bl w:val="nil"/>
            </w:tcBorders>
            <w:noWrap w:val="0"/>
            <w:vAlign w:val="center"/>
          </w:tcPr>
          <w:p w14:paraId="19078B8B">
            <w:pPr>
              <w:keepNext w:val="0"/>
              <w:keepLines w:val="0"/>
              <w:pageBreakBefore w:val="0"/>
              <w:widowControl w:val="0"/>
              <w:suppressLineNumbers w:val="0"/>
              <w:kinsoku/>
              <w:wordWrap/>
              <w:overflowPunct/>
              <w:topLinePunct w:val="0"/>
              <w:bidi w:val="0"/>
              <w:snapToGrid/>
              <w:spacing w:line="360" w:lineRule="exact"/>
              <w:ind w:left="0" w:leftChars="0" w:firstLine="0" w:firstLineChars="0"/>
              <w:jc w:val="both"/>
              <w:textAlignment w:val="center"/>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1BC44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546" w:type="dxa"/>
            <w:tcBorders>
              <w:tl2br w:val="nil"/>
              <w:tr2bl w:val="nil"/>
            </w:tcBorders>
            <w:noWrap w:val="0"/>
            <w:vAlign w:val="center"/>
          </w:tcPr>
          <w:p w14:paraId="49E3251B">
            <w:pPr>
              <w:keepNext w:val="0"/>
              <w:keepLines w:val="0"/>
              <w:pageBreakBefore w:val="0"/>
              <w:widowControl w:val="0"/>
              <w:suppressLineNumbers w:val="0"/>
              <w:kinsoku/>
              <w:wordWrap/>
              <w:overflowPunct/>
              <w:topLinePunct w:val="0"/>
              <w:bidi w:val="0"/>
              <w:snapToGrid/>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45</w:t>
            </w:r>
          </w:p>
        </w:tc>
        <w:tc>
          <w:tcPr>
            <w:tcW w:w="938" w:type="dxa"/>
            <w:tcBorders>
              <w:tl2br w:val="nil"/>
              <w:tr2bl w:val="nil"/>
            </w:tcBorders>
            <w:noWrap w:val="0"/>
            <w:vAlign w:val="center"/>
          </w:tcPr>
          <w:p w14:paraId="7CEF8677">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对检验检测机构的行政检查</w:t>
            </w:r>
          </w:p>
        </w:tc>
        <w:tc>
          <w:tcPr>
            <w:tcW w:w="1200" w:type="dxa"/>
            <w:tcBorders>
              <w:tl2br w:val="nil"/>
              <w:tr2bl w:val="nil"/>
            </w:tcBorders>
            <w:noWrap w:val="0"/>
            <w:vAlign w:val="center"/>
          </w:tcPr>
          <w:p w14:paraId="0EA36285">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市场监管</w:t>
            </w:r>
          </w:p>
          <w:p w14:paraId="212CE074">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部门</w:t>
            </w:r>
          </w:p>
          <w:p w14:paraId="1D6F04CB">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（县级以上）</w:t>
            </w:r>
          </w:p>
        </w:tc>
        <w:tc>
          <w:tcPr>
            <w:tcW w:w="3537" w:type="dxa"/>
            <w:tcBorders>
              <w:tl2br w:val="nil"/>
              <w:tr2bl w:val="nil"/>
            </w:tcBorders>
            <w:noWrap w:val="0"/>
            <w:vAlign w:val="center"/>
          </w:tcPr>
          <w:p w14:paraId="04E8FABE">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《检验检测机构监督管理办法》</w:t>
            </w:r>
          </w:p>
          <w:p w14:paraId="1238130C">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第四条第二款</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省级市场监督管理部门负责本行政区域内检验检测机构监督管理工作；第三款地（市）、县级市场监督管理部门负责本行政区域内检验检测机构监督检查工作。</w:t>
            </w:r>
          </w:p>
          <w:p w14:paraId="288EDEF4">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第十七条第一款</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县级以上市场监督管理部门应当依据检验检测机构年度监督检查计划，随机抽取检查对象、随机选派执法检查人员开展监督检查工作；第二款</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因应对突发事件等需要，县级以上市场监督管理部门可以应急开展相关监督检查工作；第三款</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国家市场监督管理总局可以根据工作需要，委托省级市场监督管理部门开展监督检查。</w:t>
            </w:r>
          </w:p>
          <w:p w14:paraId="35320653">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第十九条</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省级市场监督管理部门可以结合风险程度、能力验证及监督检查结果、投诉举报情况等，对本行政区域内检验检测机构进行分类监管。</w:t>
            </w:r>
          </w:p>
          <w:p w14:paraId="63AF425C">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第二十条</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市场监督管理部门可以依法行使下列职权：</w:t>
            </w:r>
          </w:p>
          <w:p w14:paraId="17372663">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（一）进入检验检测机构进行现场检查；</w:t>
            </w:r>
          </w:p>
          <w:p w14:paraId="75718A48">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（二）向检验检测机构、委托人等有关单位及人员询问、调查有关情况或者验证相关检验检测活动；</w:t>
            </w:r>
          </w:p>
          <w:p w14:paraId="0BE16F64">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（三）查阅、复制有关检验检测原始记录、报告、发票、账簿及其他相关资料；</w:t>
            </w:r>
          </w:p>
          <w:p w14:paraId="179702E6">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b w:val="0"/>
                <w:bCs/>
                <w:color w:val="auto"/>
                <w:spacing w:val="0"/>
                <w:sz w:val="21"/>
                <w:szCs w:val="21"/>
              </w:rPr>
              <w:t>（四）法律、行政法规规定的其他职权。</w:t>
            </w:r>
          </w:p>
        </w:tc>
        <w:tc>
          <w:tcPr>
            <w:tcW w:w="938" w:type="dxa"/>
            <w:tcBorders>
              <w:tl2br w:val="nil"/>
              <w:tr2bl w:val="nil"/>
            </w:tcBorders>
            <w:noWrap w:val="0"/>
            <w:vAlign w:val="center"/>
          </w:tcPr>
          <w:p w14:paraId="708C095C">
            <w:pPr>
              <w:keepNext w:val="0"/>
              <w:keepLines w:val="0"/>
              <w:pageBreakBefore w:val="0"/>
              <w:widowControl w:val="0"/>
              <w:kinsoku/>
              <w:wordWrap/>
              <w:overflowPunct/>
              <w:topLinePunct w:val="0"/>
              <w:bidi w:val="0"/>
              <w:snapToGrid/>
              <w:spacing w:line="27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计量股、执法大队、市监所</w:t>
            </w:r>
          </w:p>
        </w:tc>
        <w:tc>
          <w:tcPr>
            <w:tcW w:w="825" w:type="dxa"/>
            <w:tcBorders>
              <w:tl2br w:val="nil"/>
              <w:tr2bl w:val="nil"/>
            </w:tcBorders>
            <w:noWrap w:val="0"/>
            <w:vAlign w:val="center"/>
          </w:tcPr>
          <w:p w14:paraId="41153523">
            <w:pPr>
              <w:keepNext w:val="0"/>
              <w:keepLines w:val="0"/>
              <w:pageBreakBefore w:val="0"/>
              <w:widowControl w:val="0"/>
              <w:kinsoku/>
              <w:wordWrap/>
              <w:overflowPunct/>
              <w:topLinePunct w:val="0"/>
              <w:autoSpaceDE w:val="0"/>
              <w:autoSpaceDN w:val="0"/>
              <w:bidi w:val="0"/>
              <w:adjustRightInd w:val="0"/>
              <w:snapToGrid/>
              <w:spacing w:line="27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检验检测机构</w:t>
            </w:r>
          </w:p>
        </w:tc>
        <w:tc>
          <w:tcPr>
            <w:tcW w:w="3737" w:type="dxa"/>
            <w:tcBorders>
              <w:tl2br w:val="nil"/>
              <w:tr2bl w:val="nil"/>
            </w:tcBorders>
            <w:noWrap w:val="0"/>
            <w:vAlign w:val="center"/>
          </w:tcPr>
          <w:p w14:paraId="1E919DE4">
            <w:pPr>
              <w:keepNext w:val="0"/>
              <w:keepLines w:val="0"/>
              <w:pageBreakBefore w:val="0"/>
              <w:widowControl w:val="0"/>
              <w:kinsoku/>
              <w:wordWrap/>
              <w:overflowPunct/>
              <w:topLinePunct w:val="0"/>
              <w:bidi w:val="0"/>
              <w:snapToGrid/>
              <w:spacing w:line="27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1.对机构持续保持资质认定条件的监督检查；</w:t>
            </w:r>
          </w:p>
          <w:p w14:paraId="4DB22989">
            <w:pPr>
              <w:keepNext w:val="0"/>
              <w:keepLines w:val="0"/>
              <w:pageBreakBefore w:val="0"/>
              <w:widowControl w:val="0"/>
              <w:kinsoku/>
              <w:wordWrap/>
              <w:overflowPunct/>
              <w:topLinePunct w:val="0"/>
              <w:bidi w:val="0"/>
              <w:snapToGrid/>
              <w:spacing w:line="27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2.对机构从事检验检测活动的监督检查。</w:t>
            </w:r>
          </w:p>
        </w:tc>
        <w:tc>
          <w:tcPr>
            <w:tcW w:w="963" w:type="dxa"/>
            <w:tcBorders>
              <w:tl2br w:val="nil"/>
              <w:tr2bl w:val="nil"/>
            </w:tcBorders>
            <w:noWrap w:val="0"/>
            <w:vAlign w:val="center"/>
          </w:tcPr>
          <w:p w14:paraId="4ED44514">
            <w:pPr>
              <w:keepNext w:val="0"/>
              <w:keepLines w:val="0"/>
              <w:pageBreakBefore w:val="0"/>
              <w:widowControl w:val="0"/>
              <w:kinsoku/>
              <w:wordWrap/>
              <w:overflowPunct/>
              <w:topLinePunct w:val="0"/>
              <w:autoSpaceDE w:val="0"/>
              <w:autoSpaceDN w:val="0"/>
              <w:bidi w:val="0"/>
              <w:adjustRightInd w:val="0"/>
              <w:snapToGrid/>
              <w:spacing w:line="27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现场检查、非现场检查相结合</w:t>
            </w:r>
          </w:p>
        </w:tc>
        <w:tc>
          <w:tcPr>
            <w:tcW w:w="1175" w:type="dxa"/>
            <w:tcBorders>
              <w:tl2br w:val="nil"/>
              <w:tr2bl w:val="nil"/>
            </w:tcBorders>
            <w:noWrap w:val="0"/>
            <w:vAlign w:val="center"/>
          </w:tcPr>
          <w:p w14:paraId="6B45600C">
            <w:pPr>
              <w:keepNext w:val="0"/>
              <w:keepLines w:val="0"/>
              <w:pageBreakBefore w:val="0"/>
              <w:widowControl w:val="0"/>
              <w:kinsoku/>
              <w:wordWrap/>
              <w:overflowPunct/>
              <w:topLinePunct w:val="0"/>
              <w:autoSpaceDE w:val="0"/>
              <w:autoSpaceDN w:val="0"/>
              <w:bidi w:val="0"/>
              <w:adjustRightInd w:val="0"/>
              <w:snapToGrid/>
              <w:spacing w:line="27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036E716D">
            <w:pPr>
              <w:keepNext w:val="0"/>
              <w:keepLines w:val="0"/>
              <w:pageBreakBefore w:val="0"/>
              <w:widowControl w:val="0"/>
              <w:kinsoku/>
              <w:wordWrap/>
              <w:overflowPunct/>
              <w:topLinePunct w:val="0"/>
              <w:autoSpaceDE w:val="0"/>
              <w:autoSpaceDN w:val="0"/>
              <w:bidi w:val="0"/>
              <w:adjustRightInd w:val="0"/>
              <w:snapToGrid/>
              <w:spacing w:line="300" w:lineRule="exact"/>
              <w:ind w:left="0" w:leftChars="0" w:firstLine="0" w:firstLineChars="0"/>
              <w:jc w:val="both"/>
              <w:rPr>
                <w:rFonts w:hint="eastAsia" w:asciiTheme="minorEastAsia" w:hAnsiTheme="minorEastAsia" w:eastAsiaTheme="minorEastAsia" w:cstheme="minorEastAsia"/>
                <w:i w:val="0"/>
                <w:color w:val="auto"/>
                <w:spacing w:val="0"/>
                <w:kern w:val="0"/>
                <w:sz w:val="21"/>
                <w:szCs w:val="21"/>
                <w:u w:val="none"/>
                <w:lang w:val="en-US" w:eastAsia="zh-CN" w:bidi="ar"/>
              </w:rPr>
            </w:pPr>
          </w:p>
        </w:tc>
      </w:tr>
      <w:tr w14:paraId="6972F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1C0337C8">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46</w:t>
            </w:r>
          </w:p>
        </w:tc>
        <w:tc>
          <w:tcPr>
            <w:tcW w:w="938" w:type="dxa"/>
            <w:tcBorders>
              <w:tl2br w:val="nil"/>
              <w:tr2bl w:val="nil"/>
            </w:tcBorders>
            <w:noWrap w:val="0"/>
            <w:vAlign w:val="center"/>
          </w:tcPr>
          <w:p w14:paraId="06C8F745">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对认证活动和认证结果的行政检查</w:t>
            </w:r>
          </w:p>
        </w:tc>
        <w:tc>
          <w:tcPr>
            <w:tcW w:w="1200" w:type="dxa"/>
            <w:tcBorders>
              <w:tl2br w:val="nil"/>
              <w:tr2bl w:val="nil"/>
            </w:tcBorders>
            <w:noWrap w:val="0"/>
            <w:vAlign w:val="center"/>
          </w:tcPr>
          <w:p w14:paraId="607F5402">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市场监管</w:t>
            </w:r>
          </w:p>
          <w:p w14:paraId="3098CAAB">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部门</w:t>
            </w:r>
          </w:p>
          <w:p w14:paraId="30ABC587">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（县级以上）</w:t>
            </w:r>
          </w:p>
        </w:tc>
        <w:tc>
          <w:tcPr>
            <w:tcW w:w="3537" w:type="dxa"/>
            <w:tcBorders>
              <w:tl2br w:val="nil"/>
              <w:tr2bl w:val="nil"/>
            </w:tcBorders>
            <w:noWrap w:val="0"/>
            <w:vAlign w:val="center"/>
          </w:tcPr>
          <w:p w14:paraId="276A638D">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《中华人民共和国认证认可条例》（2003年9月3日实施）</w:t>
            </w:r>
          </w:p>
          <w:p w14:paraId="0FCBEAE2">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第五十条</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14:paraId="02F95040">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第五十四条</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县级以上地方人民政府市场监督管理部门在国务院认证认可监督管理部门的授权范围内，依照本条例的规定对认证活动实施监督管理。</w:t>
            </w:r>
          </w:p>
          <w:p w14:paraId="52B3F10A">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《认证机构管理办法》（2017年11月14日实施）</w:t>
            </w:r>
          </w:p>
          <w:p w14:paraId="4ED634C0">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第四条</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国务院认证认可监督管理部门主管认证机构的资质审批及监督管理工作。县级以上地方认证监督管理部门依照本办法的规定，负责所辖区域内认证机构从事认证活动的监督管理。</w:t>
            </w:r>
          </w:p>
          <w:p w14:paraId="50D6B036">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《强制性产品认证管理规定》（2009年7月3日实施）第三十七条</w:t>
            </w:r>
            <w:r>
              <w:rPr>
                <w:rFonts w:hint="eastAsia" w:asciiTheme="minorEastAsia" w:hAnsiTheme="minorEastAsia" w:eastAsiaTheme="minorEastAsia" w:cstheme="minorEastAsia"/>
                <w:b w:val="0"/>
                <w:bCs/>
                <w:color w:val="auto"/>
                <w:spacing w:val="0"/>
                <w:sz w:val="21"/>
                <w:szCs w:val="21"/>
                <w:lang w:val="en-US" w:eastAsia="zh-CN"/>
              </w:rPr>
              <w:t xml:space="preserve"> </w:t>
            </w:r>
            <w:r>
              <w:rPr>
                <w:rFonts w:hint="eastAsia" w:asciiTheme="minorEastAsia" w:hAnsiTheme="minorEastAsia" w:eastAsiaTheme="minorEastAsia" w:cstheme="minorEastAsia"/>
                <w:b w:val="0"/>
                <w:bCs/>
                <w:color w:val="auto"/>
                <w:spacing w:val="0"/>
                <w:sz w:val="21"/>
                <w:szCs w:val="21"/>
              </w:rPr>
              <w:t>县级以上地方市场监督管理部门负责对所辖区域内强制性产品认证活动实施监督检查，对违法行为进行查处。</w:t>
            </w:r>
          </w:p>
          <w:p w14:paraId="78C5688F">
            <w:pPr>
              <w:keepNext w:val="0"/>
              <w:keepLines w:val="0"/>
              <w:pageBreakBefore w:val="0"/>
              <w:widowControl w:val="0"/>
              <w:kinsoku/>
              <w:wordWrap/>
              <w:overflowPunct/>
              <w:topLinePunct w:val="0"/>
              <w:autoSpaceDE/>
              <w:autoSpaceDN/>
              <w:bidi w:val="0"/>
              <w:adjustRightInd/>
              <w:snapToGrid/>
              <w:spacing w:line="27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b w:val="0"/>
                <w:bCs/>
                <w:color w:val="auto"/>
                <w:spacing w:val="0"/>
                <w:sz w:val="21"/>
                <w:szCs w:val="21"/>
              </w:rPr>
              <w:t>《市场监管总局关于加强认证监管工作的通知》（国市监认证〔2019〕102号）（2019年5月14日实施）</w:t>
            </w:r>
          </w:p>
        </w:tc>
        <w:tc>
          <w:tcPr>
            <w:tcW w:w="938" w:type="dxa"/>
            <w:tcBorders>
              <w:tl2br w:val="nil"/>
              <w:tr2bl w:val="nil"/>
            </w:tcBorders>
            <w:noWrap w:val="0"/>
            <w:vAlign w:val="center"/>
          </w:tcPr>
          <w:p w14:paraId="271AAFBE">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计量股</w:t>
            </w:r>
          </w:p>
        </w:tc>
        <w:tc>
          <w:tcPr>
            <w:tcW w:w="825" w:type="dxa"/>
            <w:tcBorders>
              <w:tl2br w:val="nil"/>
              <w:tr2bl w:val="nil"/>
            </w:tcBorders>
            <w:noWrap w:val="0"/>
            <w:vAlign w:val="center"/>
          </w:tcPr>
          <w:p w14:paraId="37D382B2">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获证</w:t>
            </w:r>
          </w:p>
          <w:p w14:paraId="5E180D32">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组织</w:t>
            </w:r>
          </w:p>
        </w:tc>
        <w:tc>
          <w:tcPr>
            <w:tcW w:w="3737" w:type="dxa"/>
            <w:tcBorders>
              <w:tl2br w:val="nil"/>
              <w:tr2bl w:val="nil"/>
            </w:tcBorders>
            <w:noWrap w:val="0"/>
            <w:vAlign w:val="center"/>
          </w:tcPr>
          <w:p w14:paraId="7F2B4EB8">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认证活动及结果合规性、有效性的检查。</w:t>
            </w:r>
          </w:p>
        </w:tc>
        <w:tc>
          <w:tcPr>
            <w:tcW w:w="963" w:type="dxa"/>
            <w:tcBorders>
              <w:tl2br w:val="nil"/>
              <w:tr2bl w:val="nil"/>
            </w:tcBorders>
            <w:noWrap w:val="0"/>
            <w:vAlign w:val="center"/>
          </w:tcPr>
          <w:p w14:paraId="193FDB81">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现场检查</w:t>
            </w:r>
          </w:p>
        </w:tc>
        <w:tc>
          <w:tcPr>
            <w:tcW w:w="1175" w:type="dxa"/>
            <w:tcBorders>
              <w:tl2br w:val="nil"/>
              <w:tr2bl w:val="nil"/>
            </w:tcBorders>
            <w:noWrap w:val="0"/>
            <w:vAlign w:val="center"/>
          </w:tcPr>
          <w:p w14:paraId="4579EB3D">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1426FA4C">
            <w:pPr>
              <w:keepNext w:val="0"/>
              <w:keepLines w:val="0"/>
              <w:pageBreakBefore w:val="0"/>
              <w:widowControl w:val="0"/>
              <w:kinsoku/>
              <w:wordWrap/>
              <w:overflowPunct/>
              <w:topLinePunct w:val="0"/>
              <w:bidi w:val="0"/>
              <w:snapToGrid/>
              <w:spacing w:line="300" w:lineRule="exact"/>
              <w:ind w:left="0" w:leftChars="0" w:firstLine="0" w:firstLineChars="0"/>
              <w:jc w:val="both"/>
              <w:rPr>
                <w:rFonts w:hint="eastAsia" w:asciiTheme="minorEastAsia" w:hAnsiTheme="minorEastAsia" w:eastAsiaTheme="minorEastAsia" w:cstheme="minorEastAsia"/>
                <w:color w:val="auto"/>
                <w:spacing w:val="0"/>
                <w:sz w:val="21"/>
                <w:szCs w:val="21"/>
              </w:rPr>
            </w:pPr>
          </w:p>
        </w:tc>
      </w:tr>
      <w:tr w14:paraId="09CDC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0" w:hRule="atLeast"/>
          <w:jc w:val="center"/>
        </w:trPr>
        <w:tc>
          <w:tcPr>
            <w:tcW w:w="546" w:type="dxa"/>
            <w:tcBorders>
              <w:tl2br w:val="nil"/>
              <w:tr2bl w:val="nil"/>
            </w:tcBorders>
            <w:noWrap w:val="0"/>
            <w:vAlign w:val="center"/>
          </w:tcPr>
          <w:p w14:paraId="439ABCDC">
            <w:pPr>
              <w:keepNext w:val="0"/>
              <w:keepLines w:val="0"/>
              <w:pageBreakBefore w:val="0"/>
              <w:widowControl w:val="0"/>
              <w:kinsoku/>
              <w:wordWrap/>
              <w:overflowPunct/>
              <w:topLinePunct w:val="0"/>
              <w:bidi w:val="0"/>
              <w:snapToGrid/>
              <w:spacing w:line="300" w:lineRule="exact"/>
              <w:ind w:left="0" w:leftChars="0" w:firstLine="0" w:firstLineChars="0"/>
              <w:jc w:val="center"/>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47</w:t>
            </w:r>
          </w:p>
        </w:tc>
        <w:tc>
          <w:tcPr>
            <w:tcW w:w="938" w:type="dxa"/>
            <w:tcBorders>
              <w:tl2br w:val="nil"/>
              <w:tr2bl w:val="nil"/>
            </w:tcBorders>
            <w:noWrap w:val="0"/>
            <w:vAlign w:val="center"/>
          </w:tcPr>
          <w:p w14:paraId="2BF8EABD">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商标代理机构主体资格、执业行为进行检查</w:t>
            </w:r>
          </w:p>
        </w:tc>
        <w:tc>
          <w:tcPr>
            <w:tcW w:w="1200" w:type="dxa"/>
            <w:tcBorders>
              <w:tl2br w:val="nil"/>
              <w:tr2bl w:val="nil"/>
            </w:tcBorders>
            <w:noWrap w:val="0"/>
            <w:vAlign w:val="center"/>
          </w:tcPr>
          <w:p w14:paraId="33F3F3B1">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w:t>
            </w: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县级以上知识产权管理部门</w:t>
            </w:r>
          </w:p>
        </w:tc>
        <w:tc>
          <w:tcPr>
            <w:tcW w:w="3537" w:type="dxa"/>
            <w:tcBorders>
              <w:tl2br w:val="nil"/>
              <w:tr2bl w:val="nil"/>
            </w:tcBorders>
            <w:noWrap w:val="0"/>
            <w:vAlign w:val="center"/>
          </w:tcPr>
          <w:p w14:paraId="24BCDE76">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b w:val="0"/>
                <w:bCs/>
                <w:color w:val="auto"/>
                <w:spacing w:val="0"/>
                <w:sz w:val="21"/>
                <w:szCs w:val="21"/>
              </w:rPr>
            </w:pPr>
            <w:r>
              <w:rPr>
                <w:rFonts w:hint="eastAsia" w:asciiTheme="minorEastAsia" w:hAnsiTheme="minorEastAsia" w:eastAsiaTheme="minorEastAsia" w:cstheme="minorEastAsia"/>
                <w:color w:val="auto"/>
                <w:spacing w:val="0"/>
                <w:sz w:val="21"/>
                <w:szCs w:val="21"/>
                <w:lang w:eastAsia="zh-CN"/>
              </w:rPr>
              <w:t>《商标法》第十九条、第六十八条、《商标法实施条例》第八十四条、第八十八条，</w:t>
            </w:r>
            <w:r>
              <w:rPr>
                <w:rFonts w:hint="eastAsia" w:asciiTheme="minorEastAsia" w:hAnsiTheme="minorEastAsia" w:eastAsiaTheme="minorEastAsia" w:cstheme="minorEastAsia"/>
                <w:color w:val="auto"/>
                <w:spacing w:val="0"/>
                <w:sz w:val="21"/>
                <w:szCs w:val="21"/>
                <w:highlight w:val="none"/>
              </w:rPr>
              <w:t>第八十九条</w:t>
            </w:r>
          </w:p>
        </w:tc>
        <w:tc>
          <w:tcPr>
            <w:tcW w:w="938" w:type="dxa"/>
            <w:tcBorders>
              <w:tl2br w:val="nil"/>
              <w:tr2bl w:val="nil"/>
            </w:tcBorders>
            <w:noWrap w:val="0"/>
            <w:vAlign w:val="center"/>
          </w:tcPr>
          <w:p w14:paraId="733B620A">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知识产权股、执法大队、市监所</w:t>
            </w:r>
          </w:p>
        </w:tc>
        <w:tc>
          <w:tcPr>
            <w:tcW w:w="825" w:type="dxa"/>
            <w:tcBorders>
              <w:tl2br w:val="nil"/>
              <w:tr2bl w:val="nil"/>
            </w:tcBorders>
            <w:noWrap w:val="0"/>
            <w:vAlign w:val="center"/>
          </w:tcPr>
          <w:p w14:paraId="1C8B6415">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商标代理机构</w:t>
            </w:r>
          </w:p>
        </w:tc>
        <w:tc>
          <w:tcPr>
            <w:tcW w:w="3737" w:type="dxa"/>
            <w:tcBorders>
              <w:tl2br w:val="nil"/>
              <w:tr2bl w:val="nil"/>
            </w:tcBorders>
            <w:noWrap w:val="0"/>
            <w:vAlign w:val="center"/>
          </w:tcPr>
          <w:p w14:paraId="6DB70DD7">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商标代理机构主体资格、执业行为进行检查</w:t>
            </w:r>
          </w:p>
        </w:tc>
        <w:tc>
          <w:tcPr>
            <w:tcW w:w="963" w:type="dxa"/>
            <w:tcBorders>
              <w:tl2br w:val="nil"/>
              <w:tr2bl w:val="nil"/>
            </w:tcBorders>
            <w:noWrap w:val="0"/>
            <w:vAlign w:val="center"/>
          </w:tcPr>
          <w:p w14:paraId="193649A7">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现场检查、非现场检查相结合</w:t>
            </w:r>
          </w:p>
        </w:tc>
        <w:tc>
          <w:tcPr>
            <w:tcW w:w="1175" w:type="dxa"/>
            <w:tcBorders>
              <w:tl2br w:val="nil"/>
              <w:tr2bl w:val="nil"/>
            </w:tcBorders>
            <w:noWrap w:val="0"/>
            <w:vAlign w:val="center"/>
          </w:tcPr>
          <w:p w14:paraId="555D68B0">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184371F2">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按</w:t>
            </w:r>
            <w:r>
              <w:rPr>
                <w:rFonts w:hint="eastAsia" w:asciiTheme="minorEastAsia" w:hAnsiTheme="minorEastAsia" w:eastAsiaTheme="minorEastAsia" w:cstheme="minorEastAsia"/>
                <w:color w:val="auto"/>
                <w:spacing w:val="0"/>
                <w:sz w:val="21"/>
                <w:szCs w:val="21"/>
              </w:rPr>
              <w:t>年度</w:t>
            </w:r>
            <w:r>
              <w:rPr>
                <w:rFonts w:hint="eastAsia" w:asciiTheme="minorEastAsia" w:hAnsiTheme="minorEastAsia" w:eastAsiaTheme="minorEastAsia" w:cstheme="minorEastAsia"/>
                <w:color w:val="auto"/>
                <w:spacing w:val="0"/>
                <w:sz w:val="21"/>
                <w:szCs w:val="21"/>
                <w:lang w:eastAsia="zh-CN"/>
              </w:rPr>
              <w:t>“双随机、一公开”</w:t>
            </w:r>
            <w:r>
              <w:rPr>
                <w:rFonts w:hint="eastAsia" w:asciiTheme="minorEastAsia" w:hAnsiTheme="minorEastAsia" w:eastAsiaTheme="minorEastAsia" w:cstheme="minorEastAsia"/>
                <w:color w:val="auto"/>
                <w:spacing w:val="0"/>
                <w:sz w:val="21"/>
                <w:szCs w:val="21"/>
              </w:rPr>
              <w:t>检查计划执行</w:t>
            </w:r>
          </w:p>
        </w:tc>
      </w:tr>
      <w:tr w14:paraId="01D05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0" w:hRule="atLeast"/>
          <w:jc w:val="center"/>
        </w:trPr>
        <w:tc>
          <w:tcPr>
            <w:tcW w:w="546" w:type="dxa"/>
            <w:tcBorders>
              <w:tl2br w:val="nil"/>
              <w:tr2bl w:val="nil"/>
            </w:tcBorders>
            <w:noWrap w:val="0"/>
            <w:vAlign w:val="center"/>
          </w:tcPr>
          <w:p w14:paraId="37BA157F">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48</w:t>
            </w:r>
          </w:p>
        </w:tc>
        <w:tc>
          <w:tcPr>
            <w:tcW w:w="938" w:type="dxa"/>
            <w:tcBorders>
              <w:tl2br w:val="nil"/>
              <w:tr2bl w:val="nil"/>
            </w:tcBorders>
            <w:noWrap w:val="0"/>
            <w:vAlign w:val="center"/>
          </w:tcPr>
          <w:p w14:paraId="39290F8F">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专利代理机构主体资格和执业资质检查</w:t>
            </w:r>
          </w:p>
        </w:tc>
        <w:tc>
          <w:tcPr>
            <w:tcW w:w="1200" w:type="dxa"/>
            <w:tcBorders>
              <w:tl2br w:val="nil"/>
              <w:tr2bl w:val="nil"/>
            </w:tcBorders>
            <w:noWrap w:val="0"/>
            <w:vAlign w:val="center"/>
          </w:tcPr>
          <w:p w14:paraId="50717E6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w:t>
            </w: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县级以上知识产权管理部门</w:t>
            </w:r>
          </w:p>
        </w:tc>
        <w:tc>
          <w:tcPr>
            <w:tcW w:w="3537" w:type="dxa"/>
            <w:tcBorders>
              <w:tl2br w:val="nil"/>
              <w:tr2bl w:val="nil"/>
            </w:tcBorders>
            <w:noWrap w:val="0"/>
            <w:vAlign w:val="center"/>
          </w:tcPr>
          <w:p w14:paraId="400B4C4C">
            <w:pPr>
              <w:keepNext w:val="0"/>
              <w:keepLines w:val="0"/>
              <w:pageBreakBefore w:val="0"/>
              <w:widowControl w:val="0"/>
              <w:shd w:val="clear" w:color="auto" w:fill="auto"/>
              <w:kinsoku/>
              <w:wordWrap/>
              <w:overflowPunct/>
              <w:topLinePunct w:val="0"/>
              <w:bidi w:val="0"/>
              <w:adjustRightInd w:val="0"/>
              <w:snapToGrid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专利代理条例》第四条、第五条、第六条</w:t>
            </w:r>
          </w:p>
          <w:p w14:paraId="40957332">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highlight w:val="none"/>
              </w:rPr>
              <w:t>《专利代理管理办法》第九条、第十条、第十一条、第十二条、第十三条、第十八条、第二十条、第二十六条、第二十一条、第三十七条第四十一条第三十五条、第三十七条、第三十八条、第三十九条、第四十条、第四十一条、第四十二条、第四十五条。</w:t>
            </w:r>
          </w:p>
        </w:tc>
        <w:tc>
          <w:tcPr>
            <w:tcW w:w="938" w:type="dxa"/>
            <w:tcBorders>
              <w:tl2br w:val="nil"/>
              <w:tr2bl w:val="nil"/>
            </w:tcBorders>
            <w:noWrap w:val="0"/>
            <w:vAlign w:val="center"/>
          </w:tcPr>
          <w:p w14:paraId="7BB7DEB9">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知识产权股、执法大队、市监所</w:t>
            </w:r>
          </w:p>
        </w:tc>
        <w:tc>
          <w:tcPr>
            <w:tcW w:w="825" w:type="dxa"/>
            <w:tcBorders>
              <w:tl2br w:val="nil"/>
              <w:tr2bl w:val="nil"/>
            </w:tcBorders>
            <w:noWrap w:val="0"/>
            <w:vAlign w:val="center"/>
          </w:tcPr>
          <w:p w14:paraId="09A791A6">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highlight w:val="none"/>
              </w:rPr>
              <w:t>专利代理机构</w:t>
            </w:r>
          </w:p>
        </w:tc>
        <w:tc>
          <w:tcPr>
            <w:tcW w:w="3737" w:type="dxa"/>
            <w:tcBorders>
              <w:tl2br w:val="nil"/>
              <w:tr2bl w:val="nil"/>
            </w:tcBorders>
            <w:noWrap w:val="0"/>
            <w:vAlign w:val="center"/>
          </w:tcPr>
          <w:p w14:paraId="638B5861">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highlight w:val="none"/>
              </w:rPr>
              <w:t>专利代理机构主体资格和执业资质检查</w:t>
            </w:r>
          </w:p>
        </w:tc>
        <w:tc>
          <w:tcPr>
            <w:tcW w:w="963" w:type="dxa"/>
            <w:tcBorders>
              <w:tl2br w:val="nil"/>
              <w:tr2bl w:val="nil"/>
            </w:tcBorders>
            <w:noWrap w:val="0"/>
            <w:vAlign w:val="center"/>
          </w:tcPr>
          <w:p w14:paraId="0B5343C3">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现场检查、非现场检查相结合</w:t>
            </w:r>
          </w:p>
        </w:tc>
        <w:tc>
          <w:tcPr>
            <w:tcW w:w="1175" w:type="dxa"/>
            <w:tcBorders>
              <w:tl2br w:val="nil"/>
              <w:tr2bl w:val="nil"/>
            </w:tcBorders>
            <w:noWrap w:val="0"/>
            <w:vAlign w:val="center"/>
          </w:tcPr>
          <w:p w14:paraId="719C5CF4">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735E0F1C">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按</w:t>
            </w:r>
            <w:r>
              <w:rPr>
                <w:rFonts w:hint="eastAsia" w:asciiTheme="minorEastAsia" w:hAnsiTheme="minorEastAsia" w:eastAsiaTheme="minorEastAsia" w:cstheme="minorEastAsia"/>
                <w:color w:val="auto"/>
                <w:spacing w:val="0"/>
                <w:sz w:val="21"/>
                <w:szCs w:val="21"/>
              </w:rPr>
              <w:t>年度</w:t>
            </w:r>
            <w:r>
              <w:rPr>
                <w:rFonts w:hint="eastAsia" w:asciiTheme="minorEastAsia" w:hAnsiTheme="minorEastAsia" w:eastAsiaTheme="minorEastAsia" w:cstheme="minorEastAsia"/>
                <w:color w:val="auto"/>
                <w:spacing w:val="0"/>
                <w:sz w:val="21"/>
                <w:szCs w:val="21"/>
                <w:lang w:eastAsia="zh-CN"/>
              </w:rPr>
              <w:t>“双随机、一公开”</w:t>
            </w:r>
            <w:r>
              <w:rPr>
                <w:rFonts w:hint="eastAsia" w:asciiTheme="minorEastAsia" w:hAnsiTheme="minorEastAsia" w:eastAsiaTheme="minorEastAsia" w:cstheme="minorEastAsia"/>
                <w:color w:val="auto"/>
                <w:spacing w:val="0"/>
                <w:sz w:val="21"/>
                <w:szCs w:val="21"/>
              </w:rPr>
              <w:t>检查计划执行</w:t>
            </w:r>
          </w:p>
        </w:tc>
      </w:tr>
      <w:tr w14:paraId="73411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732546CC">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49</w:t>
            </w:r>
          </w:p>
        </w:tc>
        <w:tc>
          <w:tcPr>
            <w:tcW w:w="938" w:type="dxa"/>
            <w:tcBorders>
              <w:tl2br w:val="nil"/>
              <w:tr2bl w:val="nil"/>
            </w:tcBorders>
            <w:noWrap w:val="0"/>
            <w:vAlign w:val="center"/>
          </w:tcPr>
          <w:p w14:paraId="59CA2873">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val="en-US" w:eastAsia="zh-CN"/>
              </w:rPr>
              <w:t>专利真实性监督检查</w:t>
            </w:r>
          </w:p>
        </w:tc>
        <w:tc>
          <w:tcPr>
            <w:tcW w:w="1200" w:type="dxa"/>
            <w:tcBorders>
              <w:tl2br w:val="nil"/>
              <w:tr2bl w:val="nil"/>
            </w:tcBorders>
            <w:noWrap w:val="0"/>
            <w:vAlign w:val="center"/>
          </w:tcPr>
          <w:p w14:paraId="51BA96D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w:t>
            </w: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县级以上知识产权管理部门</w:t>
            </w:r>
          </w:p>
        </w:tc>
        <w:tc>
          <w:tcPr>
            <w:tcW w:w="3537" w:type="dxa"/>
            <w:tcBorders>
              <w:tl2br w:val="nil"/>
              <w:tr2bl w:val="nil"/>
            </w:tcBorders>
            <w:noWrap w:val="0"/>
            <w:vAlign w:val="center"/>
          </w:tcPr>
          <w:p w14:paraId="7AA51BC7">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iCs w:val="0"/>
                <w:color w:val="auto"/>
                <w:spacing w:val="0"/>
                <w:kern w:val="0"/>
                <w:sz w:val="21"/>
                <w:szCs w:val="21"/>
                <w:u w:val="none"/>
                <w:lang w:val="en-US" w:eastAsia="zh-CN" w:bidi="ar"/>
              </w:rPr>
              <w:t>《中华人民共和国专利法》第六十五条、第六十六条、第六十八条、第六十九条；《《中华人民共和国专利法实施细则》第十一条、第八十八条；《专利行政执法办法》第二十八条、第二十九条、第三十条、第三十一条。</w:t>
            </w:r>
          </w:p>
        </w:tc>
        <w:tc>
          <w:tcPr>
            <w:tcW w:w="938" w:type="dxa"/>
            <w:tcBorders>
              <w:tl2br w:val="nil"/>
              <w:tr2bl w:val="nil"/>
            </w:tcBorders>
            <w:noWrap w:val="0"/>
            <w:vAlign w:val="center"/>
          </w:tcPr>
          <w:p w14:paraId="0D85C346">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知识产权股、执法大队、市监所</w:t>
            </w:r>
          </w:p>
        </w:tc>
        <w:tc>
          <w:tcPr>
            <w:tcW w:w="825" w:type="dxa"/>
            <w:tcBorders>
              <w:tl2br w:val="nil"/>
              <w:tr2bl w:val="nil"/>
            </w:tcBorders>
            <w:noWrap w:val="0"/>
            <w:vAlign w:val="center"/>
          </w:tcPr>
          <w:p w14:paraId="2CCD7A2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val="en-US" w:eastAsia="zh-CN"/>
              </w:rPr>
              <w:t>近5年涉及专利侵权纠纷的市场主体</w:t>
            </w:r>
          </w:p>
        </w:tc>
        <w:tc>
          <w:tcPr>
            <w:tcW w:w="3737" w:type="dxa"/>
            <w:tcBorders>
              <w:tl2br w:val="nil"/>
              <w:tr2bl w:val="nil"/>
            </w:tcBorders>
            <w:noWrap w:val="0"/>
            <w:vAlign w:val="center"/>
          </w:tcPr>
          <w:p w14:paraId="5D7C7D3A">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iCs w:val="0"/>
                <w:color w:val="auto"/>
                <w:spacing w:val="0"/>
                <w:kern w:val="0"/>
                <w:sz w:val="21"/>
                <w:szCs w:val="21"/>
                <w:u w:val="none"/>
                <w:lang w:val="en-US" w:eastAsia="zh-CN" w:bidi="ar"/>
              </w:rPr>
              <w:t>专利证书、专利文件或专利申请文件真实性的检查，产品专利宣传真实性检查。</w:t>
            </w:r>
          </w:p>
        </w:tc>
        <w:tc>
          <w:tcPr>
            <w:tcW w:w="963" w:type="dxa"/>
            <w:tcBorders>
              <w:tl2br w:val="nil"/>
              <w:tr2bl w:val="nil"/>
            </w:tcBorders>
            <w:noWrap w:val="0"/>
            <w:vAlign w:val="center"/>
          </w:tcPr>
          <w:p w14:paraId="630A279F">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现场检查、非现场检查相结合</w:t>
            </w:r>
          </w:p>
        </w:tc>
        <w:tc>
          <w:tcPr>
            <w:tcW w:w="1175" w:type="dxa"/>
            <w:tcBorders>
              <w:tl2br w:val="nil"/>
              <w:tr2bl w:val="nil"/>
            </w:tcBorders>
            <w:noWrap w:val="0"/>
            <w:vAlign w:val="center"/>
          </w:tcPr>
          <w:p w14:paraId="339C8BC5">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27FF9A00">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olor w:val="auto"/>
                <w:spacing w:val="0"/>
                <w:kern w:val="0"/>
                <w:sz w:val="21"/>
                <w:szCs w:val="21"/>
                <w:u w:val="none"/>
                <w:lang w:val="en-US" w:eastAsia="zh-CN" w:bidi="ar"/>
              </w:rPr>
            </w:pPr>
            <w:r>
              <w:rPr>
                <w:rFonts w:hint="eastAsia" w:asciiTheme="minorEastAsia" w:hAnsiTheme="minorEastAsia" w:eastAsiaTheme="minorEastAsia" w:cstheme="minorEastAsia"/>
                <w:color w:val="auto"/>
                <w:spacing w:val="0"/>
                <w:sz w:val="21"/>
                <w:szCs w:val="21"/>
                <w:lang w:eastAsia="zh-CN"/>
              </w:rPr>
              <w:t>按</w:t>
            </w:r>
            <w:r>
              <w:rPr>
                <w:rFonts w:hint="eastAsia" w:asciiTheme="minorEastAsia" w:hAnsiTheme="minorEastAsia" w:eastAsiaTheme="minorEastAsia" w:cstheme="minorEastAsia"/>
                <w:color w:val="auto"/>
                <w:spacing w:val="0"/>
                <w:sz w:val="21"/>
                <w:szCs w:val="21"/>
              </w:rPr>
              <w:t>年度</w:t>
            </w:r>
            <w:r>
              <w:rPr>
                <w:rFonts w:hint="eastAsia" w:asciiTheme="minorEastAsia" w:hAnsiTheme="minorEastAsia" w:eastAsiaTheme="minorEastAsia" w:cstheme="minorEastAsia"/>
                <w:color w:val="auto"/>
                <w:spacing w:val="0"/>
                <w:sz w:val="21"/>
                <w:szCs w:val="21"/>
                <w:lang w:eastAsia="zh-CN"/>
              </w:rPr>
              <w:t>“双随机、一公开”</w:t>
            </w:r>
            <w:r>
              <w:rPr>
                <w:rFonts w:hint="eastAsia" w:asciiTheme="minorEastAsia" w:hAnsiTheme="minorEastAsia" w:eastAsiaTheme="minorEastAsia" w:cstheme="minorEastAsia"/>
                <w:color w:val="auto"/>
                <w:spacing w:val="0"/>
                <w:sz w:val="21"/>
                <w:szCs w:val="21"/>
              </w:rPr>
              <w:t>检查计划执行</w:t>
            </w:r>
          </w:p>
        </w:tc>
      </w:tr>
      <w:tr w14:paraId="46B49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2C78A2DA">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50</w:t>
            </w:r>
          </w:p>
        </w:tc>
        <w:tc>
          <w:tcPr>
            <w:tcW w:w="938" w:type="dxa"/>
            <w:tcBorders>
              <w:tl2br w:val="nil"/>
              <w:tr2bl w:val="nil"/>
            </w:tcBorders>
            <w:noWrap w:val="0"/>
            <w:vAlign w:val="center"/>
          </w:tcPr>
          <w:p w14:paraId="438A2C0B">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val="en-US" w:eastAsia="zh-CN"/>
              </w:rPr>
              <w:t>商标使用行为检查</w:t>
            </w:r>
          </w:p>
        </w:tc>
        <w:tc>
          <w:tcPr>
            <w:tcW w:w="1200" w:type="dxa"/>
            <w:tcBorders>
              <w:tl2br w:val="nil"/>
              <w:tr2bl w:val="nil"/>
            </w:tcBorders>
            <w:noWrap w:val="0"/>
            <w:vAlign w:val="center"/>
          </w:tcPr>
          <w:p w14:paraId="0B6E37C7">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市</w:t>
            </w: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县级以上知识产权管理部门</w:t>
            </w:r>
          </w:p>
        </w:tc>
        <w:tc>
          <w:tcPr>
            <w:tcW w:w="3537" w:type="dxa"/>
            <w:tcBorders>
              <w:tl2br w:val="nil"/>
              <w:tr2bl w:val="nil"/>
            </w:tcBorders>
            <w:noWrap w:val="0"/>
            <w:vAlign w:val="center"/>
          </w:tcPr>
          <w:p w14:paraId="19F8C46A">
            <w:pPr>
              <w:keepNext w:val="0"/>
              <w:keepLines w:val="0"/>
              <w:pageBreakBefore w:val="0"/>
              <w:widowControl w:val="0"/>
              <w:suppressLineNumbers w:val="0"/>
              <w:kinsoku/>
              <w:wordWrap/>
              <w:overflowPunct/>
              <w:topLinePunct w:val="0"/>
              <w:bidi w:val="0"/>
              <w:snapToGrid/>
              <w:spacing w:line="284" w:lineRule="exact"/>
              <w:ind w:left="0" w:leftChars="0" w:firstLine="0" w:firstLineChars="0"/>
              <w:jc w:val="both"/>
              <w:textAlignment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i w:val="0"/>
                <w:iCs w:val="0"/>
                <w:color w:val="auto"/>
                <w:spacing w:val="0"/>
                <w:kern w:val="0"/>
                <w:sz w:val="21"/>
                <w:szCs w:val="21"/>
                <w:u w:val="none"/>
                <w:lang w:val="en-US" w:eastAsia="zh-CN" w:bidi="ar"/>
              </w:rPr>
              <w:t>《中华人民共和国商标法》第七条、第四十九条、第五十一条、第五十二条、第五十三条、第五十七条、第六十条、第六十一条、第六十二条；《商标法实施条例》第七十一条、第七十二条、第八十条、第九十一条。</w:t>
            </w:r>
          </w:p>
        </w:tc>
        <w:tc>
          <w:tcPr>
            <w:tcW w:w="938" w:type="dxa"/>
            <w:tcBorders>
              <w:tl2br w:val="nil"/>
              <w:tr2bl w:val="nil"/>
            </w:tcBorders>
            <w:noWrap w:val="0"/>
            <w:vAlign w:val="center"/>
          </w:tcPr>
          <w:p w14:paraId="32CDFC61">
            <w:pPr>
              <w:keepNext w:val="0"/>
              <w:keepLines w:val="0"/>
              <w:pageBreakBefore w:val="0"/>
              <w:widowControl w:val="0"/>
              <w:kinsoku/>
              <w:wordWrap/>
              <w:overflowPunct/>
              <w:topLinePunct w:val="0"/>
              <w:bidi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知识产权股、执法大队、市监所</w:t>
            </w:r>
          </w:p>
        </w:tc>
        <w:tc>
          <w:tcPr>
            <w:tcW w:w="825" w:type="dxa"/>
            <w:tcBorders>
              <w:tl2br w:val="nil"/>
              <w:tr2bl w:val="nil"/>
            </w:tcBorders>
            <w:noWrap w:val="0"/>
            <w:vAlign w:val="center"/>
          </w:tcPr>
          <w:p w14:paraId="1972A856">
            <w:pPr>
              <w:keepNext w:val="0"/>
              <w:keepLines w:val="0"/>
              <w:pageBreakBefore w:val="0"/>
              <w:widowControl w:val="0"/>
              <w:kinsoku/>
              <w:wordWrap/>
              <w:overflowPunct/>
              <w:topLinePunct w:val="0"/>
              <w:bidi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拥有有效商标企业；地理标志注册商标被许可使用企业；从事商标印制业务的市场主体</w:t>
            </w:r>
          </w:p>
        </w:tc>
        <w:tc>
          <w:tcPr>
            <w:tcW w:w="3737" w:type="dxa"/>
            <w:tcBorders>
              <w:tl2br w:val="nil"/>
              <w:tr2bl w:val="nil"/>
            </w:tcBorders>
            <w:noWrap w:val="0"/>
            <w:vAlign w:val="center"/>
          </w:tcPr>
          <w:p w14:paraId="77C3F41F">
            <w:pPr>
              <w:keepNext w:val="0"/>
              <w:keepLines w:val="0"/>
              <w:pageBreakBefore w:val="0"/>
              <w:widowControl w:val="0"/>
              <w:suppressLineNumbers w:val="0"/>
              <w:kinsoku/>
              <w:wordWrap/>
              <w:overflowPunct/>
              <w:topLinePunct w:val="0"/>
              <w:bidi w:val="0"/>
              <w:snapToGrid/>
              <w:spacing w:line="284" w:lineRule="exact"/>
              <w:ind w:left="0" w:leftChars="0" w:firstLine="0" w:firstLineChars="0"/>
              <w:jc w:val="both"/>
              <w:textAlignment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i w:val="0"/>
                <w:iCs w:val="0"/>
                <w:color w:val="auto"/>
                <w:spacing w:val="0"/>
                <w:kern w:val="0"/>
                <w:sz w:val="21"/>
                <w:szCs w:val="21"/>
                <w:u w:val="none"/>
                <w:lang w:val="en-US" w:eastAsia="zh-CN" w:bidi="ar"/>
              </w:rPr>
              <w:t>商标使用行为的检查；集体商标、证明商标（含地理标志）使用行为检查；商标印制行为的检查。</w:t>
            </w:r>
          </w:p>
        </w:tc>
        <w:tc>
          <w:tcPr>
            <w:tcW w:w="963" w:type="dxa"/>
            <w:tcBorders>
              <w:tl2br w:val="nil"/>
              <w:tr2bl w:val="nil"/>
            </w:tcBorders>
            <w:noWrap w:val="0"/>
            <w:vAlign w:val="center"/>
          </w:tcPr>
          <w:p w14:paraId="4202BFDA">
            <w:pPr>
              <w:keepNext w:val="0"/>
              <w:keepLines w:val="0"/>
              <w:pageBreakBefore w:val="0"/>
              <w:widowControl w:val="0"/>
              <w:kinsoku/>
              <w:wordWrap/>
              <w:overflowPunct/>
              <w:topLinePunct w:val="0"/>
              <w:autoSpaceDE w:val="0"/>
              <w:autoSpaceDN w:val="0"/>
              <w:bidi w:val="0"/>
              <w:adjustRightInd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现场检查、非现场检查相结合</w:t>
            </w:r>
          </w:p>
        </w:tc>
        <w:tc>
          <w:tcPr>
            <w:tcW w:w="1175" w:type="dxa"/>
            <w:tcBorders>
              <w:tl2br w:val="nil"/>
              <w:tr2bl w:val="nil"/>
            </w:tcBorders>
            <w:noWrap w:val="0"/>
            <w:vAlign w:val="center"/>
          </w:tcPr>
          <w:p w14:paraId="0D936E7E">
            <w:pPr>
              <w:keepNext w:val="0"/>
              <w:keepLines w:val="0"/>
              <w:pageBreakBefore w:val="0"/>
              <w:widowControl w:val="0"/>
              <w:kinsoku/>
              <w:wordWrap/>
              <w:overflowPunct/>
              <w:topLinePunct w:val="0"/>
              <w:autoSpaceDE w:val="0"/>
              <w:autoSpaceDN w:val="0"/>
              <w:bidi w:val="0"/>
              <w:adjustRightInd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rPr>
              <w:t>按本单位每年3月底前报经同级司法行政部门备案审查的涉企年度行政检查计划执行</w:t>
            </w:r>
          </w:p>
        </w:tc>
        <w:tc>
          <w:tcPr>
            <w:tcW w:w="1994" w:type="dxa"/>
            <w:tcBorders>
              <w:tl2br w:val="nil"/>
              <w:tr2bl w:val="nil"/>
            </w:tcBorders>
            <w:noWrap w:val="0"/>
            <w:vAlign w:val="center"/>
          </w:tcPr>
          <w:p w14:paraId="55DCCA0B">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按</w:t>
            </w:r>
            <w:r>
              <w:rPr>
                <w:rFonts w:hint="eastAsia" w:asciiTheme="minorEastAsia" w:hAnsiTheme="minorEastAsia" w:eastAsiaTheme="minorEastAsia" w:cstheme="minorEastAsia"/>
                <w:color w:val="auto"/>
                <w:spacing w:val="0"/>
                <w:sz w:val="21"/>
                <w:szCs w:val="21"/>
              </w:rPr>
              <w:t>年度</w:t>
            </w:r>
            <w:r>
              <w:rPr>
                <w:rFonts w:hint="eastAsia" w:asciiTheme="minorEastAsia" w:hAnsiTheme="minorEastAsia" w:eastAsiaTheme="minorEastAsia" w:cstheme="minorEastAsia"/>
                <w:color w:val="auto"/>
                <w:spacing w:val="0"/>
                <w:sz w:val="21"/>
                <w:szCs w:val="21"/>
                <w:lang w:eastAsia="zh-CN"/>
              </w:rPr>
              <w:t>“双随机、一公开”</w:t>
            </w:r>
            <w:r>
              <w:rPr>
                <w:rFonts w:hint="eastAsia" w:asciiTheme="minorEastAsia" w:hAnsiTheme="minorEastAsia" w:eastAsiaTheme="minorEastAsia" w:cstheme="minorEastAsia"/>
                <w:color w:val="auto"/>
                <w:spacing w:val="0"/>
                <w:sz w:val="21"/>
                <w:szCs w:val="21"/>
              </w:rPr>
              <w:t>检查计划执行</w:t>
            </w:r>
          </w:p>
        </w:tc>
      </w:tr>
      <w:tr w14:paraId="448C3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6B8A2380">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51</w:t>
            </w:r>
          </w:p>
        </w:tc>
        <w:tc>
          <w:tcPr>
            <w:tcW w:w="938" w:type="dxa"/>
            <w:tcBorders>
              <w:tl2br w:val="nil"/>
              <w:tr2bl w:val="nil"/>
            </w:tcBorders>
            <w:noWrap w:val="0"/>
            <w:vAlign w:val="center"/>
          </w:tcPr>
          <w:p w14:paraId="6DEC3970">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药品质量安全检查</w:t>
            </w:r>
          </w:p>
        </w:tc>
        <w:tc>
          <w:tcPr>
            <w:tcW w:w="1200" w:type="dxa"/>
            <w:tcBorders>
              <w:tl2br w:val="nil"/>
              <w:tr2bl w:val="nil"/>
            </w:tcBorders>
            <w:noWrap w:val="0"/>
            <w:vAlign w:val="center"/>
          </w:tcPr>
          <w:p w14:paraId="3E3D7A93">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县级以上负责药品监督的部门</w:t>
            </w:r>
          </w:p>
        </w:tc>
        <w:tc>
          <w:tcPr>
            <w:tcW w:w="3537" w:type="dxa"/>
            <w:tcBorders>
              <w:tl2br w:val="nil"/>
              <w:tr2bl w:val="nil"/>
            </w:tcBorders>
            <w:noWrap w:val="0"/>
            <w:vAlign w:val="center"/>
          </w:tcPr>
          <w:p w14:paraId="67386A57">
            <w:pPr>
              <w:keepNext w:val="0"/>
              <w:keepLines w:val="0"/>
              <w:pageBreakBefore w:val="0"/>
              <w:widowControl w:val="0"/>
              <w:kinsoku/>
              <w:wordWrap/>
              <w:overflowPunct/>
              <w:topLinePunct w:val="0"/>
              <w:bidi w:val="0"/>
              <w:snapToGrid/>
              <w:spacing w:line="284"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《药品管理法》第八条</w:t>
            </w:r>
            <w:r>
              <w:rPr>
                <w:rFonts w:hint="eastAsia" w:asciiTheme="minorEastAsia" w:hAnsiTheme="minorEastAsia" w:eastAsiaTheme="minorEastAsia" w:cstheme="minorEastAsia"/>
                <w:color w:val="auto"/>
                <w:spacing w:val="0"/>
                <w:sz w:val="21"/>
                <w:szCs w:val="21"/>
                <w:highlight w:val="none"/>
                <w:lang w:val="en-US" w:eastAsia="zh-CN"/>
              </w:rPr>
              <w:t>第九十九条 第一百条</w:t>
            </w:r>
          </w:p>
        </w:tc>
        <w:tc>
          <w:tcPr>
            <w:tcW w:w="938" w:type="dxa"/>
            <w:tcBorders>
              <w:tl2br w:val="nil"/>
              <w:tr2bl w:val="nil"/>
            </w:tcBorders>
            <w:noWrap w:val="0"/>
            <w:vAlign w:val="center"/>
          </w:tcPr>
          <w:p w14:paraId="2A04185A">
            <w:pPr>
              <w:keepNext w:val="0"/>
              <w:keepLines w:val="0"/>
              <w:pageBreakBefore w:val="0"/>
              <w:widowControl w:val="0"/>
              <w:kinsoku/>
              <w:wordWrap/>
              <w:overflowPunct/>
              <w:topLinePunct w:val="0"/>
              <w:bidi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药械股、综合执法大队、市监所</w:t>
            </w:r>
          </w:p>
        </w:tc>
        <w:tc>
          <w:tcPr>
            <w:tcW w:w="825" w:type="dxa"/>
            <w:tcBorders>
              <w:tl2br w:val="nil"/>
              <w:tr2bl w:val="nil"/>
            </w:tcBorders>
            <w:noWrap w:val="0"/>
            <w:vAlign w:val="center"/>
          </w:tcPr>
          <w:p w14:paraId="0DD9808B">
            <w:pPr>
              <w:keepNext w:val="0"/>
              <w:keepLines w:val="0"/>
              <w:pageBreakBefore w:val="0"/>
              <w:widowControl w:val="0"/>
              <w:kinsoku/>
              <w:wordWrap/>
              <w:overflowPunct/>
              <w:topLinePunct w:val="0"/>
              <w:bidi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药品经营、使用单位</w:t>
            </w:r>
          </w:p>
        </w:tc>
        <w:tc>
          <w:tcPr>
            <w:tcW w:w="3737" w:type="dxa"/>
            <w:tcBorders>
              <w:tl2br w:val="nil"/>
              <w:tr2bl w:val="nil"/>
            </w:tcBorders>
            <w:noWrap w:val="0"/>
            <w:vAlign w:val="center"/>
          </w:tcPr>
          <w:p w14:paraId="5521957E">
            <w:pPr>
              <w:keepNext w:val="0"/>
              <w:keepLines w:val="0"/>
              <w:pageBreakBefore w:val="0"/>
              <w:widowControl w:val="0"/>
              <w:kinsoku/>
              <w:wordWrap/>
              <w:overflowPunct/>
              <w:topLinePunct w:val="0"/>
              <w:bidi w:val="0"/>
              <w:snapToGrid/>
              <w:spacing w:line="284"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药品合法性、质量、购销渠道、储存保管等</w:t>
            </w:r>
          </w:p>
        </w:tc>
        <w:tc>
          <w:tcPr>
            <w:tcW w:w="963" w:type="dxa"/>
            <w:tcBorders>
              <w:tl2br w:val="nil"/>
              <w:tr2bl w:val="nil"/>
            </w:tcBorders>
            <w:noWrap w:val="0"/>
            <w:vAlign w:val="center"/>
          </w:tcPr>
          <w:p w14:paraId="206F79FE">
            <w:pPr>
              <w:keepNext w:val="0"/>
              <w:keepLines w:val="0"/>
              <w:pageBreakBefore w:val="0"/>
              <w:widowControl w:val="0"/>
              <w:kinsoku/>
              <w:wordWrap/>
              <w:overflowPunct/>
              <w:topLinePunct w:val="0"/>
              <w:autoSpaceDE w:val="0"/>
              <w:autoSpaceDN w:val="0"/>
              <w:bidi w:val="0"/>
              <w:adjustRightInd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现场检查</w:t>
            </w:r>
          </w:p>
        </w:tc>
        <w:tc>
          <w:tcPr>
            <w:tcW w:w="1175" w:type="dxa"/>
            <w:tcBorders>
              <w:tl2br w:val="nil"/>
              <w:tr2bl w:val="nil"/>
            </w:tcBorders>
            <w:noWrap w:val="0"/>
            <w:vAlign w:val="center"/>
          </w:tcPr>
          <w:p w14:paraId="0D87803E">
            <w:pPr>
              <w:keepNext w:val="0"/>
              <w:keepLines w:val="0"/>
              <w:pageBreakBefore w:val="0"/>
              <w:widowControl w:val="0"/>
              <w:kinsoku/>
              <w:wordWrap/>
              <w:overflowPunct/>
              <w:topLinePunct w:val="0"/>
              <w:autoSpaceDE w:val="0"/>
              <w:autoSpaceDN w:val="0"/>
              <w:bidi w:val="0"/>
              <w:adjustRightInd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53745564">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必要时有联合检查</w:t>
            </w:r>
          </w:p>
        </w:tc>
      </w:tr>
      <w:tr w14:paraId="3D36A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5437CD6C">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52</w:t>
            </w:r>
          </w:p>
        </w:tc>
        <w:tc>
          <w:tcPr>
            <w:tcW w:w="938" w:type="dxa"/>
            <w:tcBorders>
              <w:tl2br w:val="nil"/>
              <w:tr2bl w:val="nil"/>
            </w:tcBorders>
            <w:noWrap w:val="0"/>
            <w:vAlign w:val="center"/>
          </w:tcPr>
          <w:p w14:paraId="76596440">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医疗器械质量安全检查</w:t>
            </w:r>
          </w:p>
        </w:tc>
        <w:tc>
          <w:tcPr>
            <w:tcW w:w="1200" w:type="dxa"/>
            <w:tcBorders>
              <w:tl2br w:val="nil"/>
              <w:tr2bl w:val="nil"/>
            </w:tcBorders>
            <w:noWrap w:val="0"/>
            <w:vAlign w:val="center"/>
          </w:tcPr>
          <w:p w14:paraId="239C47B1">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县级以上负责药品监督的部门</w:t>
            </w:r>
          </w:p>
        </w:tc>
        <w:tc>
          <w:tcPr>
            <w:tcW w:w="3537" w:type="dxa"/>
            <w:tcBorders>
              <w:tl2br w:val="nil"/>
              <w:tr2bl w:val="nil"/>
            </w:tcBorders>
            <w:noWrap w:val="0"/>
            <w:vAlign w:val="center"/>
          </w:tcPr>
          <w:p w14:paraId="3E7A246E">
            <w:pPr>
              <w:keepNext w:val="0"/>
              <w:keepLines w:val="0"/>
              <w:pageBreakBefore w:val="0"/>
              <w:widowControl w:val="0"/>
              <w:kinsoku/>
              <w:wordWrap/>
              <w:overflowPunct/>
              <w:topLinePunct w:val="0"/>
              <w:bidi w:val="0"/>
              <w:snapToGrid/>
              <w:spacing w:line="284"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eastAsia="zh-CN"/>
              </w:rPr>
              <w:t>《医疗器械监督管理条例》第四条</w:t>
            </w:r>
            <w:r>
              <w:rPr>
                <w:rFonts w:hint="eastAsia" w:asciiTheme="minorEastAsia" w:hAnsiTheme="minorEastAsia" w:eastAsiaTheme="minorEastAsia" w:cstheme="minorEastAsia"/>
                <w:color w:val="auto"/>
                <w:spacing w:val="0"/>
                <w:sz w:val="21"/>
                <w:szCs w:val="21"/>
                <w:highlight w:val="none"/>
                <w:lang w:val="en-US" w:eastAsia="zh-CN"/>
              </w:rPr>
              <w:t xml:space="preserve"> 第六十九条 第七十条</w:t>
            </w:r>
          </w:p>
        </w:tc>
        <w:tc>
          <w:tcPr>
            <w:tcW w:w="938" w:type="dxa"/>
            <w:tcBorders>
              <w:tl2br w:val="nil"/>
              <w:tr2bl w:val="nil"/>
            </w:tcBorders>
            <w:noWrap w:val="0"/>
            <w:vAlign w:val="center"/>
          </w:tcPr>
          <w:p w14:paraId="44277C70">
            <w:pPr>
              <w:keepNext w:val="0"/>
              <w:keepLines w:val="0"/>
              <w:pageBreakBefore w:val="0"/>
              <w:widowControl w:val="0"/>
              <w:kinsoku/>
              <w:wordWrap/>
              <w:overflowPunct/>
              <w:topLinePunct w:val="0"/>
              <w:bidi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药械股、综合执法大队、市监所</w:t>
            </w:r>
          </w:p>
        </w:tc>
        <w:tc>
          <w:tcPr>
            <w:tcW w:w="825" w:type="dxa"/>
            <w:tcBorders>
              <w:tl2br w:val="nil"/>
              <w:tr2bl w:val="nil"/>
            </w:tcBorders>
            <w:noWrap w:val="0"/>
            <w:vAlign w:val="center"/>
          </w:tcPr>
          <w:p w14:paraId="7F1CCF98">
            <w:pPr>
              <w:keepNext w:val="0"/>
              <w:keepLines w:val="0"/>
              <w:pageBreakBefore w:val="0"/>
              <w:widowControl w:val="0"/>
              <w:kinsoku/>
              <w:wordWrap/>
              <w:overflowPunct/>
              <w:topLinePunct w:val="0"/>
              <w:bidi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医疗器械经营使用单位</w:t>
            </w:r>
          </w:p>
        </w:tc>
        <w:tc>
          <w:tcPr>
            <w:tcW w:w="3737" w:type="dxa"/>
            <w:tcBorders>
              <w:tl2br w:val="nil"/>
              <w:tr2bl w:val="nil"/>
            </w:tcBorders>
            <w:noWrap w:val="0"/>
            <w:vAlign w:val="center"/>
          </w:tcPr>
          <w:p w14:paraId="72B4B6AC">
            <w:pPr>
              <w:keepNext w:val="0"/>
              <w:keepLines w:val="0"/>
              <w:pageBreakBefore w:val="0"/>
              <w:widowControl w:val="0"/>
              <w:kinsoku/>
              <w:wordWrap/>
              <w:overflowPunct/>
              <w:topLinePunct w:val="0"/>
              <w:bidi w:val="0"/>
              <w:snapToGrid/>
              <w:spacing w:line="284"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医疗器械合法性、质量、购销渠道、储存保管等</w:t>
            </w:r>
          </w:p>
        </w:tc>
        <w:tc>
          <w:tcPr>
            <w:tcW w:w="963" w:type="dxa"/>
            <w:tcBorders>
              <w:tl2br w:val="nil"/>
              <w:tr2bl w:val="nil"/>
            </w:tcBorders>
            <w:noWrap w:val="0"/>
            <w:vAlign w:val="center"/>
          </w:tcPr>
          <w:p w14:paraId="0E216070">
            <w:pPr>
              <w:keepNext w:val="0"/>
              <w:keepLines w:val="0"/>
              <w:pageBreakBefore w:val="0"/>
              <w:widowControl w:val="0"/>
              <w:kinsoku/>
              <w:wordWrap/>
              <w:overflowPunct/>
              <w:topLinePunct w:val="0"/>
              <w:autoSpaceDE w:val="0"/>
              <w:autoSpaceDN w:val="0"/>
              <w:bidi w:val="0"/>
              <w:adjustRightInd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现场检查</w:t>
            </w:r>
          </w:p>
        </w:tc>
        <w:tc>
          <w:tcPr>
            <w:tcW w:w="1175" w:type="dxa"/>
            <w:tcBorders>
              <w:tl2br w:val="nil"/>
              <w:tr2bl w:val="nil"/>
            </w:tcBorders>
            <w:noWrap w:val="0"/>
            <w:vAlign w:val="center"/>
          </w:tcPr>
          <w:p w14:paraId="56CCF39F">
            <w:pPr>
              <w:keepNext w:val="0"/>
              <w:keepLines w:val="0"/>
              <w:pageBreakBefore w:val="0"/>
              <w:widowControl w:val="0"/>
              <w:kinsoku/>
              <w:wordWrap/>
              <w:overflowPunct/>
              <w:topLinePunct w:val="0"/>
              <w:autoSpaceDE w:val="0"/>
              <w:autoSpaceDN w:val="0"/>
              <w:bidi w:val="0"/>
              <w:adjustRightInd w:val="0"/>
              <w:snapToGrid/>
              <w:spacing w:line="284"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39EE7EE3">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必要时有联合检查</w:t>
            </w:r>
          </w:p>
        </w:tc>
      </w:tr>
      <w:tr w14:paraId="07C4C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02" w:hRule="atLeast"/>
          <w:jc w:val="center"/>
        </w:trPr>
        <w:tc>
          <w:tcPr>
            <w:tcW w:w="546" w:type="dxa"/>
            <w:tcBorders>
              <w:tl2br w:val="nil"/>
              <w:tr2bl w:val="nil"/>
            </w:tcBorders>
            <w:noWrap w:val="0"/>
            <w:vAlign w:val="center"/>
          </w:tcPr>
          <w:p w14:paraId="2A8A70CB">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53</w:t>
            </w:r>
          </w:p>
        </w:tc>
        <w:tc>
          <w:tcPr>
            <w:tcW w:w="938" w:type="dxa"/>
            <w:tcBorders>
              <w:tl2br w:val="nil"/>
              <w:tr2bl w:val="nil"/>
            </w:tcBorders>
            <w:noWrap w:val="0"/>
            <w:vAlign w:val="center"/>
          </w:tcPr>
          <w:p w14:paraId="777D0C9B">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化妆品质量安全检查</w:t>
            </w:r>
          </w:p>
        </w:tc>
        <w:tc>
          <w:tcPr>
            <w:tcW w:w="1200" w:type="dxa"/>
            <w:tcBorders>
              <w:tl2br w:val="nil"/>
              <w:tr2bl w:val="nil"/>
            </w:tcBorders>
            <w:noWrap w:val="0"/>
            <w:vAlign w:val="center"/>
          </w:tcPr>
          <w:p w14:paraId="304D5FFE">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pacing w:val="0"/>
                <w:sz w:val="21"/>
                <w:szCs w:val="21"/>
                <w:lang w:eastAsia="zh-CN"/>
              </w:rPr>
              <w:t>县级以上负责药品监督的部门</w:t>
            </w:r>
          </w:p>
        </w:tc>
        <w:tc>
          <w:tcPr>
            <w:tcW w:w="3537" w:type="dxa"/>
            <w:tcBorders>
              <w:tl2br w:val="nil"/>
              <w:tr2bl w:val="nil"/>
            </w:tcBorders>
            <w:noWrap w:val="0"/>
            <w:vAlign w:val="center"/>
          </w:tcPr>
          <w:p w14:paraId="0DDAD06B">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eastAsia="zh-CN"/>
              </w:rPr>
              <w:t>《化妆品监督管理条例》第五条</w:t>
            </w:r>
            <w:r>
              <w:rPr>
                <w:rFonts w:hint="eastAsia" w:asciiTheme="minorEastAsia" w:hAnsiTheme="minorEastAsia" w:eastAsiaTheme="minorEastAsia" w:cstheme="minorEastAsia"/>
                <w:color w:val="auto"/>
                <w:spacing w:val="0"/>
                <w:sz w:val="21"/>
                <w:szCs w:val="21"/>
                <w:highlight w:val="none"/>
                <w:lang w:val="en-US" w:eastAsia="zh-CN"/>
              </w:rPr>
              <w:t xml:space="preserve"> 第四十六条 第四十七条</w:t>
            </w:r>
          </w:p>
        </w:tc>
        <w:tc>
          <w:tcPr>
            <w:tcW w:w="938" w:type="dxa"/>
            <w:tcBorders>
              <w:tl2br w:val="nil"/>
              <w:tr2bl w:val="nil"/>
            </w:tcBorders>
            <w:noWrap w:val="0"/>
            <w:vAlign w:val="center"/>
          </w:tcPr>
          <w:p w14:paraId="2CED4B71">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药械股、综合执法大队、市监所</w:t>
            </w:r>
          </w:p>
        </w:tc>
        <w:tc>
          <w:tcPr>
            <w:tcW w:w="825" w:type="dxa"/>
            <w:tcBorders>
              <w:tl2br w:val="nil"/>
              <w:tr2bl w:val="nil"/>
            </w:tcBorders>
            <w:noWrap w:val="0"/>
            <w:vAlign w:val="center"/>
          </w:tcPr>
          <w:p w14:paraId="7E7BC6E5">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化妆品生产经营等单位</w:t>
            </w:r>
          </w:p>
        </w:tc>
        <w:tc>
          <w:tcPr>
            <w:tcW w:w="3737" w:type="dxa"/>
            <w:tcBorders>
              <w:tl2br w:val="nil"/>
              <w:tr2bl w:val="nil"/>
            </w:tcBorders>
            <w:noWrap w:val="0"/>
            <w:vAlign w:val="center"/>
          </w:tcPr>
          <w:p w14:paraId="63370399">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化妆品合法性、质量等</w:t>
            </w:r>
          </w:p>
        </w:tc>
        <w:tc>
          <w:tcPr>
            <w:tcW w:w="963" w:type="dxa"/>
            <w:tcBorders>
              <w:tl2br w:val="nil"/>
              <w:tr2bl w:val="nil"/>
            </w:tcBorders>
            <w:noWrap w:val="0"/>
            <w:vAlign w:val="center"/>
          </w:tcPr>
          <w:p w14:paraId="3BA9E95A">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现场检查</w:t>
            </w:r>
          </w:p>
        </w:tc>
        <w:tc>
          <w:tcPr>
            <w:tcW w:w="1175" w:type="dxa"/>
            <w:tcBorders>
              <w:tl2br w:val="nil"/>
              <w:tr2bl w:val="nil"/>
            </w:tcBorders>
            <w:noWrap w:val="0"/>
            <w:vAlign w:val="center"/>
          </w:tcPr>
          <w:p w14:paraId="38645F8F">
            <w:pPr>
              <w:keepNext w:val="0"/>
              <w:keepLines w:val="0"/>
              <w:pageBreakBefore w:val="0"/>
              <w:widowControl w:val="0"/>
              <w:kinsoku/>
              <w:wordWrap/>
              <w:overflowPunct/>
              <w:topLinePunct w:val="0"/>
              <w:autoSpaceDE w:val="0"/>
              <w:autoSpaceDN w:val="0"/>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按本单位每年3月底前报经同级司法行政部门备案审查的涉企年度行政检查计划执行</w:t>
            </w:r>
          </w:p>
        </w:tc>
        <w:tc>
          <w:tcPr>
            <w:tcW w:w="1994" w:type="dxa"/>
            <w:tcBorders>
              <w:tl2br w:val="nil"/>
              <w:tr2bl w:val="nil"/>
            </w:tcBorders>
            <w:noWrap w:val="0"/>
            <w:vAlign w:val="center"/>
          </w:tcPr>
          <w:p w14:paraId="399142B2">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eastAsia="zh-CN"/>
              </w:rPr>
            </w:pPr>
          </w:p>
        </w:tc>
      </w:tr>
      <w:tr w14:paraId="53DE3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15" w:hRule="atLeast"/>
          <w:jc w:val="center"/>
        </w:trPr>
        <w:tc>
          <w:tcPr>
            <w:tcW w:w="546" w:type="dxa"/>
            <w:tcBorders>
              <w:tl2br w:val="nil"/>
              <w:tr2bl w:val="nil"/>
            </w:tcBorders>
            <w:noWrap w:val="0"/>
            <w:vAlign w:val="center"/>
          </w:tcPr>
          <w:p w14:paraId="54110565">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lang w:val="en-US" w:eastAsia="zh-CN"/>
              </w:rPr>
              <w:t>54</w:t>
            </w:r>
          </w:p>
        </w:tc>
        <w:tc>
          <w:tcPr>
            <w:tcW w:w="938" w:type="dxa"/>
            <w:tcBorders>
              <w:tl2br w:val="nil"/>
              <w:tr2bl w:val="nil"/>
            </w:tcBorders>
            <w:noWrap w:val="0"/>
            <w:vAlign w:val="center"/>
          </w:tcPr>
          <w:p w14:paraId="7F9F31E3">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食品经营许可证现场核查</w:t>
            </w:r>
          </w:p>
        </w:tc>
        <w:tc>
          <w:tcPr>
            <w:tcW w:w="1200" w:type="dxa"/>
            <w:tcBorders>
              <w:tl2br w:val="nil"/>
              <w:tr2bl w:val="nil"/>
            </w:tcBorders>
            <w:noWrap w:val="0"/>
            <w:vAlign w:val="center"/>
          </w:tcPr>
          <w:p w14:paraId="28DF39CC">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市场监管</w:t>
            </w:r>
          </w:p>
          <w:p w14:paraId="5DC9D65A">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部门</w:t>
            </w:r>
          </w:p>
          <w:p w14:paraId="0D86F244">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w:t>
            </w:r>
          </w:p>
        </w:tc>
        <w:tc>
          <w:tcPr>
            <w:tcW w:w="3537" w:type="dxa"/>
            <w:tcBorders>
              <w:tl2br w:val="nil"/>
              <w:tr2bl w:val="nil"/>
            </w:tcBorders>
            <w:noWrap w:val="0"/>
            <w:vAlign w:val="center"/>
          </w:tcPr>
          <w:p w14:paraId="2E91ABA1">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《食品经营许可和备案管理办法》第二十条 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tc>
        <w:tc>
          <w:tcPr>
            <w:tcW w:w="938" w:type="dxa"/>
            <w:tcBorders>
              <w:tl2br w:val="nil"/>
              <w:tr2bl w:val="nil"/>
            </w:tcBorders>
            <w:noWrap w:val="0"/>
            <w:vAlign w:val="center"/>
          </w:tcPr>
          <w:p w14:paraId="1423EB7C">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行政审批服务股</w:t>
            </w:r>
          </w:p>
        </w:tc>
        <w:tc>
          <w:tcPr>
            <w:tcW w:w="825" w:type="dxa"/>
            <w:tcBorders>
              <w:tl2br w:val="nil"/>
              <w:tr2bl w:val="nil"/>
            </w:tcBorders>
            <w:noWrap w:val="0"/>
            <w:vAlign w:val="center"/>
          </w:tcPr>
          <w:p w14:paraId="7E2CC6CD">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申请对象</w:t>
            </w:r>
          </w:p>
        </w:tc>
        <w:tc>
          <w:tcPr>
            <w:tcW w:w="3737" w:type="dxa"/>
            <w:tcBorders>
              <w:tl2br w:val="nil"/>
              <w:tr2bl w:val="nil"/>
            </w:tcBorders>
            <w:noWrap w:val="0"/>
            <w:vAlign w:val="center"/>
          </w:tcPr>
          <w:p w14:paraId="2EBB5FA1">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对申请材料的实质内容进行核实</w:t>
            </w:r>
          </w:p>
        </w:tc>
        <w:tc>
          <w:tcPr>
            <w:tcW w:w="963" w:type="dxa"/>
            <w:tcBorders>
              <w:tl2br w:val="nil"/>
              <w:tr2bl w:val="nil"/>
            </w:tcBorders>
            <w:noWrap w:val="0"/>
            <w:vAlign w:val="center"/>
          </w:tcPr>
          <w:p w14:paraId="7712FE45">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现场检查、非现场检查相结合</w:t>
            </w:r>
          </w:p>
        </w:tc>
        <w:tc>
          <w:tcPr>
            <w:tcW w:w="1175" w:type="dxa"/>
            <w:tcBorders>
              <w:tl2br w:val="nil"/>
              <w:tr2bl w:val="nil"/>
            </w:tcBorders>
            <w:noWrap w:val="0"/>
            <w:vAlign w:val="center"/>
          </w:tcPr>
          <w:p w14:paraId="293E7D27">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rPr>
              <w:t>按本单位每年3月底前报经同级司法行政部门备案审查的涉企年度行政检查计划执行</w:t>
            </w:r>
          </w:p>
        </w:tc>
        <w:tc>
          <w:tcPr>
            <w:tcW w:w="1994" w:type="dxa"/>
            <w:tcBorders>
              <w:tl2br w:val="nil"/>
              <w:tr2bl w:val="nil"/>
            </w:tcBorders>
            <w:noWrap w:val="0"/>
            <w:vAlign w:val="center"/>
          </w:tcPr>
          <w:p w14:paraId="0D41988F">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eastAsia="zh-CN"/>
              </w:rPr>
            </w:pPr>
          </w:p>
        </w:tc>
      </w:tr>
      <w:tr w14:paraId="2D94F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0" w:hRule="atLeast"/>
          <w:jc w:val="center"/>
        </w:trPr>
        <w:tc>
          <w:tcPr>
            <w:tcW w:w="546" w:type="dxa"/>
            <w:tcBorders>
              <w:tl2br w:val="nil"/>
              <w:tr2bl w:val="nil"/>
            </w:tcBorders>
            <w:noWrap w:val="0"/>
            <w:vAlign w:val="center"/>
          </w:tcPr>
          <w:p w14:paraId="10BD084A">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55</w:t>
            </w:r>
          </w:p>
        </w:tc>
        <w:tc>
          <w:tcPr>
            <w:tcW w:w="938" w:type="dxa"/>
            <w:tcBorders>
              <w:tl2br w:val="nil"/>
              <w:tr2bl w:val="nil"/>
            </w:tcBorders>
            <w:noWrap w:val="0"/>
            <w:vAlign w:val="center"/>
          </w:tcPr>
          <w:p w14:paraId="55F8B9F0">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药品经营许可证现场核查</w:t>
            </w:r>
          </w:p>
        </w:tc>
        <w:tc>
          <w:tcPr>
            <w:tcW w:w="1200" w:type="dxa"/>
            <w:tcBorders>
              <w:tl2br w:val="nil"/>
              <w:tr2bl w:val="nil"/>
            </w:tcBorders>
            <w:noWrap w:val="0"/>
            <w:vAlign w:val="center"/>
          </w:tcPr>
          <w:p w14:paraId="2C5DE84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市场监管</w:t>
            </w:r>
          </w:p>
          <w:p w14:paraId="2B03FAD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部门</w:t>
            </w:r>
          </w:p>
          <w:p w14:paraId="0B297D68">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（县级以上）</w:t>
            </w:r>
          </w:p>
        </w:tc>
        <w:tc>
          <w:tcPr>
            <w:tcW w:w="3537" w:type="dxa"/>
            <w:tcBorders>
              <w:tl2br w:val="nil"/>
              <w:tr2bl w:val="nil"/>
            </w:tcBorders>
            <w:noWrap w:val="0"/>
            <w:vAlign w:val="center"/>
          </w:tcPr>
          <w:p w14:paraId="28C39776">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《药品经营和使用质量监督管理办法》第十三条 药品监督管理部门应当自受理申请之日起二十日内作出决定。</w:t>
            </w:r>
          </w:p>
          <w:p w14:paraId="3CDE01D5">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t>药品监督管理部门按照药品经营质量管理规范及其现场检查指导原则、检查细则等有关规定，组织开展申报资料技术审查和现场检查。</w:t>
            </w:r>
          </w:p>
        </w:tc>
        <w:tc>
          <w:tcPr>
            <w:tcW w:w="938" w:type="dxa"/>
            <w:tcBorders>
              <w:tl2br w:val="nil"/>
              <w:tr2bl w:val="nil"/>
            </w:tcBorders>
            <w:noWrap w:val="0"/>
            <w:vAlign w:val="center"/>
          </w:tcPr>
          <w:p w14:paraId="1439C2D9">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行政审批服务股</w:t>
            </w:r>
          </w:p>
        </w:tc>
        <w:tc>
          <w:tcPr>
            <w:tcW w:w="825" w:type="dxa"/>
            <w:tcBorders>
              <w:tl2br w:val="nil"/>
              <w:tr2bl w:val="nil"/>
            </w:tcBorders>
            <w:noWrap w:val="0"/>
            <w:vAlign w:val="center"/>
          </w:tcPr>
          <w:p w14:paraId="5D88A6A0">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申请对象</w:t>
            </w:r>
          </w:p>
        </w:tc>
        <w:tc>
          <w:tcPr>
            <w:tcW w:w="3737" w:type="dxa"/>
            <w:tcBorders>
              <w:tl2br w:val="nil"/>
              <w:tr2bl w:val="nil"/>
            </w:tcBorders>
            <w:noWrap w:val="0"/>
            <w:vAlign w:val="center"/>
          </w:tcPr>
          <w:p w14:paraId="66200B88">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对申请材料的实质内容进行核实</w:t>
            </w:r>
          </w:p>
        </w:tc>
        <w:tc>
          <w:tcPr>
            <w:tcW w:w="963" w:type="dxa"/>
            <w:tcBorders>
              <w:tl2br w:val="nil"/>
              <w:tr2bl w:val="nil"/>
            </w:tcBorders>
            <w:noWrap w:val="0"/>
            <w:vAlign w:val="center"/>
          </w:tcPr>
          <w:p w14:paraId="72DCBF84">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现场检查、非现场检查相结合</w:t>
            </w:r>
          </w:p>
        </w:tc>
        <w:tc>
          <w:tcPr>
            <w:tcW w:w="1175" w:type="dxa"/>
            <w:tcBorders>
              <w:tl2br w:val="nil"/>
              <w:tr2bl w:val="nil"/>
            </w:tcBorders>
            <w:noWrap w:val="0"/>
            <w:vAlign w:val="center"/>
          </w:tcPr>
          <w:p w14:paraId="2DC1B435">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color w:val="auto"/>
                <w:spacing w:val="0"/>
                <w:sz w:val="21"/>
                <w:szCs w:val="21"/>
                <w:highlight w:val="none"/>
              </w:rPr>
              <w:t>按本单位每年3月底前报经同级司法行政部门备案审查的涉企年度行政检查计划执行</w:t>
            </w:r>
          </w:p>
        </w:tc>
        <w:tc>
          <w:tcPr>
            <w:tcW w:w="1994" w:type="dxa"/>
            <w:tcBorders>
              <w:tl2br w:val="nil"/>
              <w:tr2bl w:val="nil"/>
            </w:tcBorders>
            <w:noWrap w:val="0"/>
            <w:vAlign w:val="center"/>
          </w:tcPr>
          <w:p w14:paraId="6141E73F">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eastAsia="zh-CN"/>
              </w:rPr>
            </w:pPr>
          </w:p>
        </w:tc>
      </w:tr>
      <w:tr w14:paraId="6169B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46" w:type="dxa"/>
            <w:tcBorders>
              <w:tl2br w:val="nil"/>
              <w:tr2bl w:val="nil"/>
            </w:tcBorders>
            <w:noWrap w:val="0"/>
            <w:vAlign w:val="center"/>
          </w:tcPr>
          <w:p w14:paraId="4F15CA09">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56</w:t>
            </w:r>
          </w:p>
        </w:tc>
        <w:tc>
          <w:tcPr>
            <w:tcW w:w="938" w:type="dxa"/>
            <w:tcBorders>
              <w:tl2br w:val="nil"/>
              <w:tr2bl w:val="nil"/>
            </w:tcBorders>
            <w:noWrap w:val="0"/>
            <w:vAlign w:val="center"/>
          </w:tcPr>
          <w:p w14:paraId="788B8D0E">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医疗器械经营许可证</w:t>
            </w:r>
          </w:p>
        </w:tc>
        <w:tc>
          <w:tcPr>
            <w:tcW w:w="1200" w:type="dxa"/>
            <w:tcBorders>
              <w:tl2br w:val="nil"/>
              <w:tr2bl w:val="nil"/>
            </w:tcBorders>
            <w:noWrap w:val="0"/>
            <w:vAlign w:val="center"/>
          </w:tcPr>
          <w:p w14:paraId="4DFE50D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highlight w:val="none"/>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highlight w:val="none"/>
                <w:shd w:val="clear" w:color="auto" w:fill="FFFFFF"/>
                <w:lang w:val="en-US" w:eastAsia="zh-CN" w:bidi="ar"/>
              </w:rPr>
              <w:t>市场监管</w:t>
            </w:r>
          </w:p>
          <w:p w14:paraId="0A702975">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highlight w:val="none"/>
                <w:shd w:val="clear" w:color="auto" w:fill="FFFFFF"/>
                <w:lang w:val="en-US" w:eastAsia="zh-CN" w:bidi="ar"/>
              </w:rPr>
            </w:pPr>
            <w:r>
              <w:rPr>
                <w:rFonts w:hint="eastAsia" w:asciiTheme="minorEastAsia" w:hAnsiTheme="minorEastAsia" w:eastAsiaTheme="minorEastAsia" w:cstheme="minorEastAsia"/>
                <w:i w:val="0"/>
                <w:caps w:val="0"/>
                <w:color w:val="auto"/>
                <w:spacing w:val="0"/>
                <w:kern w:val="0"/>
                <w:sz w:val="21"/>
                <w:szCs w:val="21"/>
                <w:highlight w:val="none"/>
                <w:shd w:val="clear" w:color="auto" w:fill="FFFFFF"/>
                <w:lang w:val="en-US" w:eastAsia="zh-CN" w:bidi="ar"/>
              </w:rPr>
              <w:t>部门</w:t>
            </w:r>
          </w:p>
          <w:p w14:paraId="2D28A4A6">
            <w:pPr>
              <w:keepNext w:val="0"/>
              <w:keepLines w:val="0"/>
              <w:pageBreakBefore w:val="0"/>
              <w:widowControl w:val="0"/>
              <w:suppressLineNumbers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i w:val="0"/>
                <w:caps w:val="0"/>
                <w:color w:val="auto"/>
                <w:spacing w:val="0"/>
                <w:kern w:val="0"/>
                <w:sz w:val="21"/>
                <w:szCs w:val="21"/>
                <w:highlight w:val="none"/>
                <w:shd w:val="clear" w:color="auto" w:fill="FFFFFF"/>
                <w:lang w:val="en-US" w:eastAsia="zh-CN" w:bidi="ar"/>
              </w:rPr>
              <w:t>（县级以上）</w:t>
            </w:r>
          </w:p>
        </w:tc>
        <w:tc>
          <w:tcPr>
            <w:tcW w:w="3537" w:type="dxa"/>
            <w:tcBorders>
              <w:tl2br w:val="nil"/>
              <w:tr2bl w:val="nil"/>
            </w:tcBorders>
            <w:shd w:val="clear" w:color="auto" w:fill="auto"/>
            <w:noWrap w:val="0"/>
            <w:vAlign w:val="center"/>
          </w:tcPr>
          <w:p w14:paraId="18F80109">
            <w:pPr>
              <w:keepNext w:val="0"/>
              <w:keepLines w:val="0"/>
              <w:pageBreakBefore w:val="0"/>
              <w:widowControl w:val="0"/>
              <w:suppressLineNumbers w:val="0"/>
              <w:kinsoku/>
              <w:wordWrap/>
              <w:overflowPunct/>
              <w:topLinePunct w:val="0"/>
              <w:bidi w:val="0"/>
              <w:spacing w:line="300" w:lineRule="exact"/>
              <w:ind w:left="0" w:leftChars="0" w:firstLine="0" w:firstLineChars="0"/>
              <w:jc w:val="both"/>
              <w:textAlignment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i w:val="0"/>
                <w:iCs w:val="0"/>
                <w:color w:val="auto"/>
                <w:spacing w:val="0"/>
                <w:kern w:val="0"/>
                <w:sz w:val="21"/>
                <w:szCs w:val="21"/>
                <w:highlight w:val="none"/>
                <w:u w:val="none"/>
                <w:lang w:val="en-US" w:eastAsia="zh-CN" w:bidi="ar"/>
              </w:rPr>
              <w:t>《医疗器械经营监督管理办法》第十三条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eastAsia" w:asciiTheme="minorEastAsia" w:hAnsiTheme="minorEastAsia" w:eastAsiaTheme="minorEastAsia" w:cstheme="minorEastAsia"/>
                <w:i w:val="0"/>
                <w:iCs w:val="0"/>
                <w:color w:val="auto"/>
                <w:spacing w:val="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spacing w:val="0"/>
                <w:kern w:val="0"/>
                <w:sz w:val="21"/>
                <w:szCs w:val="21"/>
                <w:highlight w:val="none"/>
                <w:u w:val="none"/>
                <w:lang w:val="en-US" w:eastAsia="zh-CN" w:bidi="ar"/>
              </w:rPr>
              <w:t>符合规定条件的，作出准予许可的书面决定，并于10个工作日内发给医疗器械经营许可证；不符合规定条件的，作出不予许可的书面决定，并说明理由。</w:t>
            </w:r>
            <w:r>
              <w:rPr>
                <w:rFonts w:hint="eastAsia" w:asciiTheme="minorEastAsia" w:hAnsiTheme="minorEastAsia" w:eastAsiaTheme="minorEastAsia" w:cstheme="minorEastAsia"/>
                <w:i w:val="0"/>
                <w:iCs w:val="0"/>
                <w:color w:val="auto"/>
                <w:spacing w:val="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spacing w:val="0"/>
                <w:kern w:val="0"/>
                <w:sz w:val="21"/>
                <w:szCs w:val="21"/>
                <w:highlight w:val="none"/>
                <w:u w:val="none"/>
                <w:lang w:val="en-US" w:eastAsia="zh-CN" w:bidi="ar"/>
              </w:rPr>
              <w:t>2005年原食药局将第三类医疗器械的许可和第二类医疗器械的备案，市级委托区县局办理</w:t>
            </w:r>
          </w:p>
        </w:tc>
        <w:tc>
          <w:tcPr>
            <w:tcW w:w="938" w:type="dxa"/>
            <w:tcBorders>
              <w:tl2br w:val="nil"/>
              <w:tr2bl w:val="nil"/>
            </w:tcBorders>
            <w:noWrap w:val="0"/>
            <w:vAlign w:val="center"/>
          </w:tcPr>
          <w:p w14:paraId="1D63DDC9">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行政审批服务股</w:t>
            </w:r>
          </w:p>
        </w:tc>
        <w:tc>
          <w:tcPr>
            <w:tcW w:w="825" w:type="dxa"/>
            <w:tcBorders>
              <w:tl2br w:val="nil"/>
              <w:tr2bl w:val="nil"/>
            </w:tcBorders>
            <w:noWrap w:val="0"/>
            <w:vAlign w:val="center"/>
          </w:tcPr>
          <w:p w14:paraId="0379417B">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申请对象</w:t>
            </w:r>
          </w:p>
        </w:tc>
        <w:tc>
          <w:tcPr>
            <w:tcW w:w="3737" w:type="dxa"/>
            <w:tcBorders>
              <w:tl2br w:val="nil"/>
              <w:tr2bl w:val="nil"/>
            </w:tcBorders>
            <w:noWrap w:val="0"/>
            <w:vAlign w:val="center"/>
          </w:tcPr>
          <w:p w14:paraId="5582963E">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对申请材料的实质内容进行核实</w:t>
            </w:r>
          </w:p>
        </w:tc>
        <w:tc>
          <w:tcPr>
            <w:tcW w:w="963" w:type="dxa"/>
            <w:tcBorders>
              <w:tl2br w:val="nil"/>
              <w:tr2bl w:val="nil"/>
            </w:tcBorders>
            <w:noWrap w:val="0"/>
            <w:vAlign w:val="center"/>
          </w:tcPr>
          <w:p w14:paraId="648C4ABD">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highlight w:val="none"/>
                <w:lang w:eastAsia="zh-CN"/>
              </w:rPr>
              <w:t>现场检查、非现场检查相结合</w:t>
            </w:r>
          </w:p>
        </w:tc>
        <w:tc>
          <w:tcPr>
            <w:tcW w:w="1175" w:type="dxa"/>
            <w:tcBorders>
              <w:tl2br w:val="nil"/>
              <w:tr2bl w:val="nil"/>
            </w:tcBorders>
            <w:noWrap w:val="0"/>
            <w:vAlign w:val="center"/>
          </w:tcPr>
          <w:p w14:paraId="5D5A811B">
            <w:pPr>
              <w:keepNext w:val="0"/>
              <w:keepLines w:val="0"/>
              <w:pageBreakBefore w:val="0"/>
              <w:widowControl w:val="0"/>
              <w:kinsoku/>
              <w:wordWrap/>
              <w:overflowPunct/>
              <w:topLinePunct w:val="0"/>
              <w:bidi w:val="0"/>
              <w:spacing w:line="300" w:lineRule="exact"/>
              <w:ind w:left="0" w:leftChars="0" w:firstLine="0" w:firstLineChars="0"/>
              <w:jc w:val="center"/>
              <w:textAlignment w:val="auto"/>
              <w:rPr>
                <w:rFonts w:hint="eastAsia" w:asciiTheme="minorEastAsia" w:hAnsiTheme="minorEastAsia" w:eastAsiaTheme="minorEastAsia" w:cstheme="minorEastAsia"/>
                <w:i w:val="0"/>
                <w:caps w:val="0"/>
                <w:color w:val="auto"/>
                <w:spacing w:val="0"/>
                <w:kern w:val="0"/>
                <w:sz w:val="21"/>
                <w:szCs w:val="21"/>
                <w:shd w:val="clear" w:color="auto" w:fill="FFFFFF"/>
                <w:lang w:val="en-US" w:eastAsia="zh-CN" w:bidi="ar"/>
              </w:rPr>
            </w:pPr>
            <w:r>
              <w:rPr>
                <w:rFonts w:hint="eastAsia" w:asciiTheme="minorEastAsia" w:hAnsiTheme="minorEastAsia" w:eastAsiaTheme="minorEastAsia" w:cstheme="minorEastAsia"/>
                <w:color w:val="auto"/>
                <w:spacing w:val="0"/>
                <w:sz w:val="21"/>
                <w:szCs w:val="21"/>
                <w:highlight w:val="none"/>
              </w:rPr>
              <w:t>按本单位每年3月底前报经同级司法行政部门备案审查的涉企年度行政检查计划执行</w:t>
            </w:r>
          </w:p>
        </w:tc>
        <w:tc>
          <w:tcPr>
            <w:tcW w:w="1994" w:type="dxa"/>
            <w:tcBorders>
              <w:tl2br w:val="nil"/>
              <w:tr2bl w:val="nil"/>
            </w:tcBorders>
            <w:noWrap w:val="0"/>
            <w:vAlign w:val="center"/>
          </w:tcPr>
          <w:p w14:paraId="1AC36E65">
            <w:pPr>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eastAsia" w:asciiTheme="minorEastAsia" w:hAnsiTheme="minorEastAsia" w:eastAsiaTheme="minorEastAsia" w:cstheme="minorEastAsia"/>
                <w:color w:val="auto"/>
                <w:spacing w:val="0"/>
                <w:sz w:val="21"/>
                <w:szCs w:val="21"/>
                <w:lang w:eastAsia="zh-CN"/>
              </w:rPr>
            </w:pPr>
          </w:p>
        </w:tc>
      </w:tr>
    </w:tbl>
    <w:p w14:paraId="688AA4D5">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color w:val="000000"/>
          <w:sz w:val="21"/>
          <w:szCs w:val="21"/>
        </w:rPr>
      </w:pPr>
      <w:r>
        <w:rPr>
          <w:rFonts w:hint="eastAsia"/>
          <w:color w:val="000000"/>
          <w:sz w:val="21"/>
          <w:szCs w:val="21"/>
        </w:rPr>
        <w:t>说明：1.本清单根据有关法律法规规章立改废情况进行动态调整。</w:t>
      </w:r>
    </w:p>
    <w:p w14:paraId="69DFD86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30" w:firstLineChars="300"/>
        <w:textAlignment w:val="auto"/>
        <w:rPr>
          <w:rFonts w:hint="eastAsia"/>
          <w:color w:val="000000"/>
          <w:sz w:val="21"/>
          <w:szCs w:val="21"/>
        </w:rPr>
      </w:pPr>
      <w:r>
        <w:rPr>
          <w:rFonts w:hint="eastAsia"/>
          <w:color w:val="000000"/>
          <w:sz w:val="21"/>
          <w:szCs w:val="21"/>
        </w:rPr>
        <w:t>2.县</w:t>
      </w:r>
      <w:r>
        <w:rPr>
          <w:rFonts w:hint="eastAsia"/>
          <w:color w:val="000000"/>
          <w:sz w:val="21"/>
          <w:szCs w:val="21"/>
          <w:lang w:eastAsia="zh-CN"/>
        </w:rPr>
        <w:t>本级</w:t>
      </w:r>
      <w:r>
        <w:rPr>
          <w:rFonts w:hint="eastAsia"/>
          <w:color w:val="000000"/>
          <w:sz w:val="21"/>
          <w:szCs w:val="21"/>
        </w:rPr>
        <w:t>行政执法机关（含所属法律法规授权组织）</w:t>
      </w:r>
      <w:r>
        <w:rPr>
          <w:rFonts w:hint="eastAsia"/>
          <w:color w:val="000000"/>
          <w:sz w:val="21"/>
          <w:szCs w:val="21"/>
          <w:lang w:eastAsia="zh-CN"/>
        </w:rPr>
        <w:t>不得与省、市</w:t>
      </w:r>
      <w:r>
        <w:rPr>
          <w:rFonts w:hint="eastAsia"/>
          <w:color w:val="000000"/>
          <w:sz w:val="21"/>
          <w:szCs w:val="21"/>
        </w:rPr>
        <w:t>对同一检查对象进行重复行政检查。</w:t>
      </w:r>
    </w:p>
    <w:p w14:paraId="444652C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840" w:leftChars="300" w:hanging="210" w:hangingChars="100"/>
        <w:textAlignment w:val="auto"/>
        <w:rPr>
          <w:rFonts w:hint="eastAsia"/>
          <w:color w:val="auto"/>
          <w:sz w:val="21"/>
          <w:szCs w:val="21"/>
          <w:lang w:val="en-US" w:eastAsia="zh-CN"/>
        </w:rPr>
      </w:pPr>
      <w:r>
        <w:rPr>
          <w:rFonts w:hint="eastAsia"/>
          <w:color w:val="000000"/>
          <w:sz w:val="21"/>
          <w:szCs w:val="21"/>
        </w:rPr>
        <w:t>3.本机关对于未列入清单的涉企行政检查事项一律不得实施行政检查；违规实施的，企业有权拒绝接受检查，并可以向</w:t>
      </w:r>
      <w:r>
        <w:rPr>
          <w:rFonts w:hint="eastAsia"/>
          <w:color w:val="000000"/>
          <w:sz w:val="21"/>
          <w:szCs w:val="21"/>
          <w:lang w:eastAsia="zh-CN"/>
        </w:rPr>
        <w:t>局党风廉政室</w:t>
      </w:r>
      <w:r>
        <w:rPr>
          <w:rFonts w:hint="eastAsia"/>
          <w:color w:val="000000"/>
          <w:sz w:val="21"/>
          <w:szCs w:val="21"/>
        </w:rPr>
        <w:t>（本机关行政</w:t>
      </w:r>
      <w:r>
        <w:rPr>
          <w:rFonts w:hint="eastAsia"/>
          <w:color w:val="auto"/>
          <w:sz w:val="21"/>
          <w:szCs w:val="21"/>
        </w:rPr>
        <w:t>执法监</w:t>
      </w:r>
      <w:r>
        <w:rPr>
          <w:rFonts w:hint="eastAsia"/>
          <w:color w:val="auto"/>
          <w:sz w:val="21"/>
          <w:szCs w:val="21"/>
          <w:lang w:val="en-US" w:eastAsia="zh-CN"/>
        </w:rPr>
        <w:t xml:space="preserve"> </w:t>
      </w:r>
    </w:p>
    <w:p w14:paraId="257E53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796" w:leftChars="379" w:firstLine="0" w:firstLineChars="0"/>
        <w:textAlignment w:val="auto"/>
        <w:rPr>
          <w:rFonts w:hint="eastAsia" w:ascii="方正仿宋_GBK" w:hAnsi="方正仿宋_GBK" w:eastAsia="方正仿宋_GBK" w:cs="方正仿宋_GBK"/>
          <w:sz w:val="21"/>
          <w:szCs w:val="21"/>
        </w:rPr>
      </w:pPr>
      <w:r>
        <w:rPr>
          <w:rFonts w:hint="eastAsia"/>
          <w:color w:val="auto"/>
          <w:sz w:val="21"/>
          <w:szCs w:val="21"/>
        </w:rPr>
        <w:t>督机构</w:t>
      </w:r>
      <w:r>
        <w:rPr>
          <w:rFonts w:hint="eastAsia"/>
          <w:color w:val="auto"/>
          <w:sz w:val="21"/>
          <w:szCs w:val="21"/>
          <w:highlight w:val="none"/>
        </w:rPr>
        <w:t>，联系电话：</w:t>
      </w:r>
      <w:r>
        <w:rPr>
          <w:rFonts w:hint="eastAsia"/>
          <w:color w:val="auto"/>
          <w:sz w:val="21"/>
          <w:szCs w:val="21"/>
          <w:highlight w:val="none"/>
          <w:lang w:val="en-US" w:eastAsia="zh-CN"/>
        </w:rPr>
        <w:t>0737-2658736</w:t>
      </w:r>
      <w:r>
        <w:rPr>
          <w:rFonts w:hint="eastAsia"/>
          <w:color w:val="auto"/>
          <w:sz w:val="21"/>
          <w:szCs w:val="21"/>
          <w:highlight w:val="none"/>
        </w:rPr>
        <w:t>；电子邮箱：</w:t>
      </w:r>
      <w:r>
        <w:rPr>
          <w:rFonts w:hint="eastAsia"/>
          <w:color w:val="auto"/>
          <w:sz w:val="21"/>
          <w:szCs w:val="21"/>
          <w:highlight w:val="none"/>
          <w:lang w:val="en-US" w:eastAsia="zh-CN"/>
        </w:rPr>
        <w:t>tjxzzfjd@163.com）</w:t>
      </w:r>
      <w:r>
        <w:rPr>
          <w:rFonts w:hint="eastAsia"/>
          <w:color w:val="auto"/>
          <w:sz w:val="21"/>
          <w:szCs w:val="21"/>
        </w:rPr>
        <w:t>和</w:t>
      </w:r>
      <w:r>
        <w:rPr>
          <w:rFonts w:hint="eastAsia"/>
          <w:color w:val="auto"/>
          <w:sz w:val="21"/>
          <w:szCs w:val="21"/>
          <w:lang w:eastAsia="zh-CN"/>
        </w:rPr>
        <w:t>县</w:t>
      </w:r>
      <w:r>
        <w:rPr>
          <w:rFonts w:hint="eastAsia"/>
          <w:color w:val="auto"/>
          <w:sz w:val="21"/>
          <w:szCs w:val="21"/>
        </w:rPr>
        <w:t>司法</w:t>
      </w:r>
      <w:r>
        <w:rPr>
          <w:rFonts w:hint="eastAsia"/>
          <w:color w:val="auto"/>
          <w:sz w:val="21"/>
          <w:szCs w:val="21"/>
          <w:lang w:eastAsia="zh-CN"/>
        </w:rPr>
        <w:t>局</w:t>
      </w:r>
      <w:r>
        <w:rPr>
          <w:rFonts w:hint="eastAsia"/>
          <w:color w:val="auto"/>
          <w:sz w:val="21"/>
          <w:szCs w:val="21"/>
        </w:rPr>
        <w:t>（联系电话：</w:t>
      </w:r>
      <w:r>
        <w:rPr>
          <w:rFonts w:hint="eastAsia"/>
          <w:color w:val="auto"/>
          <w:sz w:val="21"/>
          <w:szCs w:val="21"/>
          <w:lang w:val="en-US" w:eastAsia="zh-CN"/>
        </w:rPr>
        <w:t>0737-8835628</w:t>
      </w:r>
      <w:r>
        <w:rPr>
          <w:rFonts w:hint="eastAsia"/>
          <w:color w:val="auto"/>
          <w:sz w:val="21"/>
          <w:szCs w:val="21"/>
        </w:rPr>
        <w:t>，电子</w:t>
      </w:r>
      <w:r>
        <w:rPr>
          <w:rFonts w:hint="eastAsia"/>
          <w:color w:val="000000"/>
          <w:sz w:val="21"/>
          <w:szCs w:val="21"/>
        </w:rPr>
        <w:t>邮箱：</w:t>
      </w:r>
      <w:r>
        <w:rPr>
          <w:rFonts w:hint="eastAsia"/>
          <w:color w:val="000000"/>
          <w:sz w:val="21"/>
          <w:szCs w:val="21"/>
          <w:lang w:val="en-US" w:eastAsia="zh-CN"/>
        </w:rPr>
        <w:t>tjxzzfjd</w:t>
      </w:r>
      <w:r>
        <w:rPr>
          <w:rFonts w:hint="eastAsia"/>
          <w:color w:val="000000"/>
          <w:sz w:val="21"/>
          <w:szCs w:val="21"/>
        </w:rPr>
        <w:t>@163.com）举报。</w:t>
      </w:r>
    </w:p>
    <w:sectPr>
      <w:footerReference r:id="rId4" w:type="default"/>
      <w:pgSz w:w="16838" w:h="11906" w:orient="landscape"/>
      <w:pgMar w:top="1701" w:right="1134" w:bottom="1417"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C239">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731E">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286F5">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286F5">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62FBC"/>
    <w:multiLevelType w:val="singleLevel"/>
    <w:tmpl w:val="DDC62FBC"/>
    <w:lvl w:ilvl="0" w:tentative="0">
      <w:start w:val="1"/>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2Y2ZjNjMTQ5ZjI5NDMwNjU1ZTE4NDdmYzJjNDkifQ=="/>
  </w:docVars>
  <w:rsids>
    <w:rsidRoot w:val="DBDF9C53"/>
    <w:rsid w:val="07610556"/>
    <w:rsid w:val="09A45050"/>
    <w:rsid w:val="0A7E4C3C"/>
    <w:rsid w:val="0BF101A1"/>
    <w:rsid w:val="0EF13CD8"/>
    <w:rsid w:val="10E119E7"/>
    <w:rsid w:val="119476C6"/>
    <w:rsid w:val="15154D22"/>
    <w:rsid w:val="183D30D9"/>
    <w:rsid w:val="1DF73DB0"/>
    <w:rsid w:val="236843F0"/>
    <w:rsid w:val="24A905E3"/>
    <w:rsid w:val="26AA0A67"/>
    <w:rsid w:val="29377FAE"/>
    <w:rsid w:val="2AA50EFC"/>
    <w:rsid w:val="31B70393"/>
    <w:rsid w:val="379D86E0"/>
    <w:rsid w:val="3F8D5553"/>
    <w:rsid w:val="43A643AE"/>
    <w:rsid w:val="47549769"/>
    <w:rsid w:val="47555600"/>
    <w:rsid w:val="47FF014C"/>
    <w:rsid w:val="48566057"/>
    <w:rsid w:val="53622861"/>
    <w:rsid w:val="5DB65A52"/>
    <w:rsid w:val="5DDDCDBF"/>
    <w:rsid w:val="5EECB9D5"/>
    <w:rsid w:val="5F5B93D8"/>
    <w:rsid w:val="62A90A6A"/>
    <w:rsid w:val="667F5CD4"/>
    <w:rsid w:val="708A59E2"/>
    <w:rsid w:val="720B06B5"/>
    <w:rsid w:val="72B16541"/>
    <w:rsid w:val="7400407A"/>
    <w:rsid w:val="7A034EB0"/>
    <w:rsid w:val="7B1B090C"/>
    <w:rsid w:val="7B6F7C12"/>
    <w:rsid w:val="7C4C54A7"/>
    <w:rsid w:val="7DAE4844"/>
    <w:rsid w:val="BA7B23C6"/>
    <w:rsid w:val="BF3FD328"/>
    <w:rsid w:val="DBDF9C53"/>
    <w:rsid w:val="F65FEB46"/>
    <w:rsid w:val="FBEEFE7F"/>
    <w:rsid w:val="FE734873"/>
    <w:rsid w:val="FFB7C97D"/>
    <w:rsid w:val="FFF7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仿宋"/>
    </w:rPr>
  </w:style>
  <w:style w:type="paragraph" w:styleId="3">
    <w:name w:val="Body Text Indent"/>
    <w:basedOn w:val="1"/>
    <w:next w:val="2"/>
    <w:qFormat/>
    <w:uiPriority w:val="0"/>
    <w:pPr>
      <w:spacing w:after="120"/>
      <w:ind w:left="420" w:leftChars="200"/>
    </w:pPr>
    <w:rPr>
      <w:rFonts w:ascii="仿宋_GB2312" w:hAnsi="Times New Roman" w:eastAsia="仿宋_GB2312"/>
      <w:sz w:val="32"/>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5"/>
    <w:basedOn w:val="1"/>
    <w:qFormat/>
    <w:uiPriority w:val="0"/>
    <w:pPr>
      <w:ind w:firstLine="200" w:firstLineChars="200"/>
    </w:pPr>
    <w:rPr>
      <w:sz w:val="24"/>
    </w:rPr>
  </w:style>
  <w:style w:type="paragraph" w:customStyle="1" w:styleId="11">
    <w:name w:val="Table Paragraph"/>
    <w:basedOn w:val="1"/>
    <w:qFormat/>
    <w:uiPriority w:val="0"/>
    <w:pPr>
      <w:jc w:val="left"/>
    </w:pPr>
    <w:rPr>
      <w:rFonts w:ascii="Calibri" w:hAnsi="Calibri" w:eastAsia="宋体"/>
      <w:kern w:val="0"/>
      <w:sz w:val="22"/>
      <w:szCs w:val="22"/>
      <w:lang w:eastAsia="en-US"/>
    </w:rPr>
  </w:style>
  <w:style w:type="character" w:customStyle="1" w:styleId="12">
    <w:name w:val="font11"/>
    <w:basedOn w:val="9"/>
    <w:qFormat/>
    <w:uiPriority w:val="0"/>
    <w:rPr>
      <w:rFonts w:hint="eastAsia" w:ascii="宋体" w:hAnsi="宋体" w:eastAsia="宋体" w:cs="宋体"/>
      <w:color w:val="000000"/>
      <w:sz w:val="24"/>
      <w:szCs w:val="24"/>
      <w:u w:val="none"/>
    </w:rPr>
  </w:style>
  <w:style w:type="character" w:customStyle="1" w:styleId="13">
    <w:name w:val="font01"/>
    <w:basedOn w:val="9"/>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15397</Words>
  <Characters>15491</Characters>
  <Lines>0</Lines>
  <Paragraphs>0</Paragraphs>
  <TotalTime>19</TotalTime>
  <ScaleCrop>false</ScaleCrop>
  <LinksUpToDate>false</LinksUpToDate>
  <CharactersWithSpaces>15522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2025-02-14T01:35:00Z</dcterms:created>
  <dc:creator>kylin</dc:creator>
  <cp:lastModifiedBy>青泠</cp:lastModifiedBy>
  <cp:lastPrinted>2025-05-20T01:20:00Z</cp:lastPrinted>
  <dcterms:modified xsi:type="dcterms:W3CDTF">2025-05-23T08:29:20Z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eyJoZGlkIjoiNTJkMDFjOTJiNzFiZDk1MWQxMjcxNmUwYzQwMmIyOTQiLCJ1c2VySWQiOiI0MDc5Mjk2MjIifQ==</vt:lpwstr>
  </property>
  <property fmtid="{D5CDD505-2E9C-101B-9397-08002B2CF9AE}" pid="4" name="ICV">
    <vt:lpwstr>4E6B1C0057764DD1A783F601080E123D_13</vt:lpwstr>
  </property>
</Properties>
</file>