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42CA">
      <w:pPr>
        <w:pStyle w:val="2"/>
        <w:spacing w:line="594" w:lineRule="exact"/>
        <w:ind w:firstLine="92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收回放权赋权事项清单</w:t>
      </w:r>
    </w:p>
    <w:p w14:paraId="231BBE0E">
      <w:pPr>
        <w:pStyle w:val="6"/>
        <w:spacing w:line="360" w:lineRule="exact"/>
        <w:jc w:val="center"/>
        <w:rPr>
          <w:rFonts w:ascii="黑体" w:hAnsi="黑体" w:eastAsia="黑体" w:cs="黑体"/>
          <w:sz w:val="24"/>
        </w:rPr>
      </w:pPr>
    </w:p>
    <w:tbl>
      <w:tblPr>
        <w:tblStyle w:val="4"/>
        <w:tblW w:w="14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44"/>
        <w:gridCol w:w="2716"/>
        <w:gridCol w:w="1434"/>
        <w:gridCol w:w="1589"/>
        <w:gridCol w:w="6559"/>
      </w:tblGrid>
      <w:tr w14:paraId="6A88D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60" w:type="dxa"/>
            <w:vAlign w:val="center"/>
          </w:tcPr>
          <w:p w14:paraId="2E5D426A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44" w:type="dxa"/>
            <w:vAlign w:val="center"/>
          </w:tcPr>
          <w:p w14:paraId="4E4E9A17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赋权文件</w:t>
            </w:r>
          </w:p>
        </w:tc>
        <w:tc>
          <w:tcPr>
            <w:tcW w:w="2716" w:type="dxa"/>
            <w:vAlign w:val="center"/>
          </w:tcPr>
          <w:p w14:paraId="5E022A3A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赋权事项</w:t>
            </w:r>
          </w:p>
        </w:tc>
        <w:tc>
          <w:tcPr>
            <w:tcW w:w="1434" w:type="dxa"/>
            <w:vAlign w:val="center"/>
          </w:tcPr>
          <w:p w14:paraId="2CF4D681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赋权方式</w:t>
            </w:r>
          </w:p>
        </w:tc>
        <w:tc>
          <w:tcPr>
            <w:tcW w:w="1589" w:type="dxa"/>
            <w:vAlign w:val="center"/>
          </w:tcPr>
          <w:p w14:paraId="3EC06417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承接</w:t>
            </w:r>
            <w:r>
              <w:rPr>
                <w:rFonts w:hint="eastAsia" w:ascii="黑体" w:hAnsi="黑体" w:eastAsia="黑体" w:cs="黑体"/>
                <w:sz w:val="24"/>
              </w:rPr>
              <w:t>部门</w:t>
            </w:r>
          </w:p>
        </w:tc>
        <w:tc>
          <w:tcPr>
            <w:tcW w:w="6559" w:type="dxa"/>
            <w:vAlign w:val="center"/>
          </w:tcPr>
          <w:p w14:paraId="15AA82F1">
            <w:pPr>
              <w:pStyle w:val="6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235F1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60" w:type="dxa"/>
            <w:vAlign w:val="center"/>
          </w:tcPr>
          <w:p w14:paraId="0B2D6E0E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F2F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湘政办发〔2019〕32号</w:t>
            </w:r>
          </w:p>
        </w:tc>
        <w:tc>
          <w:tcPr>
            <w:tcW w:w="2716" w:type="dxa"/>
            <w:vAlign w:val="center"/>
          </w:tcPr>
          <w:p w14:paraId="1448364B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一级风险等级营业场所、金库和在行式、离行式自助银行等安全防范设施建设方案和工程审查验收</w:t>
            </w:r>
          </w:p>
        </w:tc>
        <w:tc>
          <w:tcPr>
            <w:tcW w:w="1434" w:type="dxa"/>
            <w:vAlign w:val="center"/>
          </w:tcPr>
          <w:p w14:paraId="3E85BFA9">
            <w:pPr>
              <w:pStyle w:val="6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14:paraId="29297DD8">
            <w:pPr>
              <w:pStyle w:val="6"/>
              <w:spacing w:line="360" w:lineRule="exact"/>
              <w:ind w:left="-623" w:leftChars="-590" w:hanging="616" w:hangingChars="25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公安</w:t>
            </w:r>
            <w:r>
              <w:rPr>
                <w:rFonts w:hint="eastAsia"/>
                <w:sz w:val="24"/>
                <w:lang w:val="en-US" w:eastAsia="zh-CN"/>
              </w:rPr>
              <w:t>局</w:t>
            </w:r>
          </w:p>
        </w:tc>
        <w:tc>
          <w:tcPr>
            <w:tcW w:w="6559" w:type="dxa"/>
            <w:vAlign w:val="center"/>
          </w:tcPr>
          <w:p w14:paraId="64AA4CD9">
            <w:pPr>
              <w:pStyle w:val="6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该事项子项为【000109131003金融机构营业场所和金库安全防范设施建设工程验收（县级权限）】，据省公安厅申请，经省数据局审核，同意各级可不引用（涉密事项），并标记为不对外公示目录，仅做目录管理。</w:t>
            </w:r>
          </w:p>
        </w:tc>
      </w:tr>
      <w:tr w14:paraId="2E5E9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60" w:type="dxa"/>
            <w:vAlign w:val="center"/>
          </w:tcPr>
          <w:p w14:paraId="1AB6E8A4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5C4A2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湘政办发〔2019〕32号</w:t>
            </w:r>
          </w:p>
        </w:tc>
        <w:tc>
          <w:tcPr>
            <w:tcW w:w="2716" w:type="dxa"/>
            <w:vAlign w:val="center"/>
          </w:tcPr>
          <w:p w14:paraId="277044B2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>权限内燃气企业燃气经营许可证核发</w:t>
            </w:r>
            <w:bookmarkEnd w:id="0"/>
            <w:bookmarkEnd w:id="1"/>
          </w:p>
        </w:tc>
        <w:tc>
          <w:tcPr>
            <w:tcW w:w="1434" w:type="dxa"/>
            <w:vAlign w:val="center"/>
          </w:tcPr>
          <w:p w14:paraId="72702299">
            <w:pPr>
              <w:pStyle w:val="6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14:paraId="1E96C7D9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住建局</w:t>
            </w:r>
          </w:p>
        </w:tc>
        <w:tc>
          <w:tcPr>
            <w:tcW w:w="6559" w:type="dxa"/>
            <w:vAlign w:val="center"/>
          </w:tcPr>
          <w:p w14:paraId="0DFC95CB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核发权限已被益阳市住房和城乡建设局收回。</w:t>
            </w:r>
          </w:p>
        </w:tc>
      </w:tr>
      <w:tr w14:paraId="227EA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60" w:type="dxa"/>
            <w:vAlign w:val="center"/>
          </w:tcPr>
          <w:p w14:paraId="4AC29550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CCE60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湘政办发〔2019〕32号</w:t>
            </w:r>
          </w:p>
        </w:tc>
        <w:tc>
          <w:tcPr>
            <w:tcW w:w="2716" w:type="dxa"/>
            <w:vAlign w:val="center"/>
          </w:tcPr>
          <w:p w14:paraId="34CB43D3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</w:rPr>
              <w:t>三级及以下房地产开发企业资质认定</w:t>
            </w:r>
            <w:bookmarkEnd w:id="2"/>
            <w:bookmarkEnd w:id="3"/>
          </w:p>
        </w:tc>
        <w:tc>
          <w:tcPr>
            <w:tcW w:w="1434" w:type="dxa"/>
            <w:vAlign w:val="center"/>
          </w:tcPr>
          <w:p w14:paraId="710BBAFD">
            <w:pPr>
              <w:pStyle w:val="6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14:paraId="10148B4B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住建局</w:t>
            </w:r>
          </w:p>
        </w:tc>
        <w:tc>
          <w:tcPr>
            <w:tcW w:w="6559" w:type="dxa"/>
            <w:vAlign w:val="center"/>
          </w:tcPr>
          <w:p w14:paraId="7E176D2A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权限已被益阳市住房和城乡建设局收回。</w:t>
            </w:r>
          </w:p>
        </w:tc>
      </w:tr>
      <w:tr w14:paraId="5524B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60" w:type="dxa"/>
            <w:vAlign w:val="center"/>
          </w:tcPr>
          <w:p w14:paraId="07CB9A4C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1F9A8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湘政办发〔2019〕32号</w:t>
            </w:r>
          </w:p>
        </w:tc>
        <w:tc>
          <w:tcPr>
            <w:tcW w:w="2716" w:type="dxa"/>
            <w:vAlign w:val="center"/>
          </w:tcPr>
          <w:p w14:paraId="72E095F6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4" w:name="OLE_LINK5"/>
            <w:bookmarkStart w:id="5" w:name="OLE_LINK6"/>
            <w:r>
              <w:rPr>
                <w:rFonts w:hint="eastAsia"/>
                <w:sz w:val="24"/>
              </w:rPr>
              <w:t>驯养繁殖省重点保护野生动物审批</w:t>
            </w:r>
            <w:bookmarkEnd w:id="4"/>
            <w:bookmarkEnd w:id="5"/>
          </w:p>
        </w:tc>
        <w:tc>
          <w:tcPr>
            <w:tcW w:w="1434" w:type="dxa"/>
            <w:vAlign w:val="center"/>
          </w:tcPr>
          <w:p w14:paraId="4F35CA59">
            <w:pPr>
              <w:pStyle w:val="6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14:paraId="418EE68F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/>
              </w:rPr>
              <w:t>林业</w:t>
            </w:r>
            <w:r>
              <w:rPr>
                <w:rFonts w:hint="eastAsia"/>
                <w:sz w:val="24"/>
                <w:lang w:val="en-US" w:eastAsia="zh-CN"/>
              </w:rPr>
              <w:t>局</w:t>
            </w:r>
          </w:p>
        </w:tc>
        <w:tc>
          <w:tcPr>
            <w:tcW w:w="6559" w:type="dxa"/>
            <w:vAlign w:val="center"/>
          </w:tcPr>
          <w:p w14:paraId="5CF0410B">
            <w:pPr>
              <w:pStyle w:val="6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该事项即为【000164101000人工繁育省重点保护的陆生野生动物审批（委托下放）】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根据湖南省人民政府关于调整一批行政权力事项的通知（湘政发〔2020〕15号），下放层级为市级、省直管县林业主管部门，桃江不属于直管县无需引用。</w:t>
            </w:r>
          </w:p>
        </w:tc>
      </w:tr>
      <w:tr w14:paraId="20950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660" w:type="dxa"/>
            <w:vAlign w:val="center"/>
          </w:tcPr>
          <w:p w14:paraId="2B4B4424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14:paraId="4ECF6354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湘政办发〔2019〕32号</w:t>
            </w:r>
          </w:p>
        </w:tc>
        <w:tc>
          <w:tcPr>
            <w:tcW w:w="2716" w:type="dxa"/>
            <w:vAlign w:val="center"/>
          </w:tcPr>
          <w:p w14:paraId="396585C2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6" w:name="OLE_LINK8"/>
            <w:bookmarkStart w:id="7" w:name="OLE_LINK7"/>
            <w:r>
              <w:rPr>
                <w:rFonts w:hint="eastAsia"/>
                <w:sz w:val="24"/>
              </w:rPr>
              <w:t>药品经营质量</w:t>
            </w:r>
            <w:bookmarkEnd w:id="6"/>
            <w:bookmarkEnd w:id="7"/>
            <w:r>
              <w:rPr>
                <w:rFonts w:hint="eastAsia"/>
                <w:sz w:val="24"/>
              </w:rPr>
              <w:t>管理规范（GSP）认证（零售）</w:t>
            </w:r>
          </w:p>
        </w:tc>
        <w:tc>
          <w:tcPr>
            <w:tcW w:w="1434" w:type="dxa"/>
            <w:vAlign w:val="center"/>
          </w:tcPr>
          <w:p w14:paraId="0BE43966">
            <w:pPr>
              <w:pStyle w:val="6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14:paraId="35D33F0F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市监局</w:t>
            </w:r>
          </w:p>
        </w:tc>
        <w:tc>
          <w:tcPr>
            <w:tcW w:w="6559" w:type="dxa"/>
            <w:vAlign w:val="center"/>
          </w:tcPr>
          <w:p w14:paraId="62799855">
            <w:pPr>
              <w:pStyle w:val="6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药品管理法》于2019年8月26日通过，自2019年12月1日起施行，该法删除了原法规中关于药品监督管理部门对药品经营企业进行GSP认证的条款，明确不再颁发《药品经营质量管理规范认证证书》（即GSP证书），该事项已停止。</w:t>
            </w:r>
          </w:p>
        </w:tc>
      </w:tr>
      <w:tr w14:paraId="2E7E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660" w:type="dxa"/>
            <w:vAlign w:val="center"/>
          </w:tcPr>
          <w:p w14:paraId="4D1E8709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14:paraId="1B67C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4CBBA18F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8" w:name="OLE_LINK9"/>
            <w:r>
              <w:rPr>
                <w:rFonts w:hint="eastAsia"/>
                <w:sz w:val="24"/>
              </w:rPr>
              <w:t>林木采伐许可证</w:t>
            </w:r>
            <w:bookmarkEnd w:id="8"/>
            <w:r>
              <w:rPr>
                <w:rFonts w:hint="eastAsia"/>
                <w:sz w:val="24"/>
              </w:rPr>
              <w:t>、木材运输证核发</w:t>
            </w:r>
          </w:p>
        </w:tc>
        <w:tc>
          <w:tcPr>
            <w:tcW w:w="1434" w:type="dxa"/>
            <w:vAlign w:val="center"/>
          </w:tcPr>
          <w:p w14:paraId="3DA72D83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服务前移</w:t>
            </w:r>
          </w:p>
        </w:tc>
        <w:tc>
          <w:tcPr>
            <w:tcW w:w="1589" w:type="dxa"/>
            <w:vAlign w:val="center"/>
          </w:tcPr>
          <w:p w14:paraId="30A678DB">
            <w:pPr>
              <w:pStyle w:val="6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5E0F16AA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52AC9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660" w:type="dxa"/>
            <w:vAlign w:val="center"/>
          </w:tcPr>
          <w:p w14:paraId="1BAD0869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</w:t>
            </w:r>
          </w:p>
        </w:tc>
        <w:tc>
          <w:tcPr>
            <w:tcW w:w="1644" w:type="dxa"/>
            <w:vAlign w:val="center"/>
          </w:tcPr>
          <w:p w14:paraId="38D31B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4949FEA4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9" w:name="OLE_LINK10"/>
            <w:bookmarkStart w:id="10" w:name="OLE_LINK11"/>
            <w:r>
              <w:rPr>
                <w:rFonts w:hint="eastAsia"/>
                <w:sz w:val="24"/>
              </w:rPr>
              <w:t>拒不履行土地复垦义务的处罚</w:t>
            </w:r>
            <w:bookmarkEnd w:id="9"/>
            <w:bookmarkEnd w:id="10"/>
          </w:p>
        </w:tc>
        <w:tc>
          <w:tcPr>
            <w:tcW w:w="1434" w:type="dxa"/>
            <w:vAlign w:val="center"/>
          </w:tcPr>
          <w:p w14:paraId="40A68250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1352A0E6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00F9D5F5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47F0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660" w:type="dxa"/>
            <w:vAlign w:val="center"/>
          </w:tcPr>
          <w:p w14:paraId="71F7C9F3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</w:t>
            </w:r>
          </w:p>
        </w:tc>
        <w:tc>
          <w:tcPr>
            <w:tcW w:w="1644" w:type="dxa"/>
            <w:vAlign w:val="center"/>
          </w:tcPr>
          <w:p w14:paraId="612D52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06B95697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11" w:name="OLE_LINK12"/>
            <w:bookmarkStart w:id="12" w:name="OLE_LINK13"/>
            <w:r>
              <w:rPr>
                <w:rFonts w:hint="eastAsia"/>
                <w:sz w:val="24"/>
              </w:rPr>
              <w:t>擅自将农民集体</w:t>
            </w:r>
            <w:bookmarkEnd w:id="11"/>
            <w:bookmarkEnd w:id="12"/>
            <w:r>
              <w:rPr>
                <w:rFonts w:hint="eastAsia"/>
                <w:sz w:val="24"/>
              </w:rPr>
              <w:t>所有的土地使用权出让、转让或出租用于非农业建设的处罚</w:t>
            </w:r>
          </w:p>
        </w:tc>
        <w:tc>
          <w:tcPr>
            <w:tcW w:w="1434" w:type="dxa"/>
            <w:vAlign w:val="center"/>
          </w:tcPr>
          <w:p w14:paraId="54862C59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162D0F6E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665B4D50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</w:tc>
      </w:tr>
      <w:tr w14:paraId="31EC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660" w:type="dxa"/>
            <w:vAlign w:val="center"/>
          </w:tcPr>
          <w:p w14:paraId="594082C4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</w:t>
            </w:r>
          </w:p>
        </w:tc>
        <w:tc>
          <w:tcPr>
            <w:tcW w:w="1644" w:type="dxa"/>
            <w:vAlign w:val="center"/>
          </w:tcPr>
          <w:p w14:paraId="66B9E1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229DE4F1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bookmarkStart w:id="13" w:name="OLE_LINK14"/>
            <w:r>
              <w:rPr>
                <w:rFonts w:hint="eastAsia"/>
                <w:sz w:val="24"/>
              </w:rPr>
              <w:t>土地利用总体规划</w:t>
            </w:r>
            <w:bookmarkEnd w:id="13"/>
            <w:r>
              <w:rPr>
                <w:rFonts w:hint="eastAsia"/>
                <w:sz w:val="24"/>
              </w:rPr>
              <w:t>确定的禁止开垦区内从事土地开发活动的处罚</w:t>
            </w:r>
          </w:p>
        </w:tc>
        <w:tc>
          <w:tcPr>
            <w:tcW w:w="1434" w:type="dxa"/>
            <w:vAlign w:val="center"/>
          </w:tcPr>
          <w:p w14:paraId="508F78EC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35953A27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361812E7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5BE0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660" w:type="dxa"/>
            <w:vAlign w:val="center"/>
          </w:tcPr>
          <w:p w14:paraId="43AAACCD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10</w:t>
            </w:r>
          </w:p>
        </w:tc>
        <w:tc>
          <w:tcPr>
            <w:tcW w:w="1644" w:type="dxa"/>
            <w:vAlign w:val="center"/>
          </w:tcPr>
          <w:p w14:paraId="7B1976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53C6EB53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14" w:name="OLE_LINK15"/>
            <w:bookmarkStart w:id="15" w:name="OLE_LINK16"/>
            <w:r>
              <w:rPr>
                <w:rFonts w:hint="eastAsia"/>
                <w:sz w:val="24"/>
              </w:rPr>
              <w:t>临时占用耕地</w:t>
            </w:r>
            <w:bookmarkEnd w:id="14"/>
            <w:bookmarkEnd w:id="15"/>
            <w:r>
              <w:rPr>
                <w:rFonts w:hint="eastAsia"/>
                <w:sz w:val="24"/>
              </w:rPr>
              <w:t>期满1年未恢复种植条件的处罚</w:t>
            </w:r>
          </w:p>
        </w:tc>
        <w:tc>
          <w:tcPr>
            <w:tcW w:w="1434" w:type="dxa"/>
            <w:vAlign w:val="center"/>
          </w:tcPr>
          <w:p w14:paraId="4FC4741D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5AF6592F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5362498C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68DF6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60" w:type="dxa"/>
            <w:vAlign w:val="center"/>
          </w:tcPr>
          <w:p w14:paraId="03629D1E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11</w:t>
            </w:r>
          </w:p>
        </w:tc>
        <w:tc>
          <w:tcPr>
            <w:tcW w:w="1644" w:type="dxa"/>
            <w:vAlign w:val="center"/>
          </w:tcPr>
          <w:p w14:paraId="72D8B4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604F3A19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bookmarkStart w:id="16" w:name="OLE_LINK17"/>
            <w:bookmarkStart w:id="17" w:name="OLE_LINK18"/>
            <w:r>
              <w:rPr>
                <w:rFonts w:hint="eastAsia"/>
                <w:sz w:val="24"/>
              </w:rPr>
              <w:t>临时使用土地</w:t>
            </w:r>
            <w:bookmarkEnd w:id="16"/>
            <w:bookmarkEnd w:id="17"/>
            <w:r>
              <w:rPr>
                <w:rFonts w:hint="eastAsia"/>
                <w:sz w:val="24"/>
              </w:rPr>
              <w:t>上修建永久性建筑物、构筑物的处罚</w:t>
            </w:r>
          </w:p>
        </w:tc>
        <w:tc>
          <w:tcPr>
            <w:tcW w:w="1434" w:type="dxa"/>
            <w:vAlign w:val="center"/>
          </w:tcPr>
          <w:p w14:paraId="1142D4C8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454C145C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6CC4E7ED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6134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660" w:type="dxa"/>
            <w:vAlign w:val="center"/>
          </w:tcPr>
          <w:p w14:paraId="3BA96196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bookmarkStart w:id="28" w:name="_GoBack"/>
            <w:bookmarkEnd w:id="28"/>
            <w:r>
              <w:rPr>
                <w:rFonts w:hint="eastAsia"/>
                <w:sz w:val="24"/>
                <w:lang w:val="en-US"/>
              </w:rPr>
              <w:t>12</w:t>
            </w:r>
          </w:p>
        </w:tc>
        <w:tc>
          <w:tcPr>
            <w:tcW w:w="1644" w:type="dxa"/>
            <w:vAlign w:val="center"/>
          </w:tcPr>
          <w:p w14:paraId="57698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5F9CD326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18" w:name="OLE_LINK19"/>
            <w:bookmarkStart w:id="19" w:name="OLE_LINK20"/>
            <w:r>
              <w:rPr>
                <w:rFonts w:hint="eastAsia"/>
                <w:sz w:val="24"/>
              </w:rPr>
              <w:t>破坏或者</w:t>
            </w:r>
            <w:bookmarkEnd w:id="18"/>
            <w:bookmarkEnd w:id="19"/>
            <w:r>
              <w:rPr>
                <w:rFonts w:hint="eastAsia"/>
                <w:sz w:val="24"/>
              </w:rPr>
              <w:t>擅自改变基本农田保护区标志的处罚</w:t>
            </w:r>
          </w:p>
        </w:tc>
        <w:tc>
          <w:tcPr>
            <w:tcW w:w="1434" w:type="dxa"/>
            <w:vAlign w:val="center"/>
          </w:tcPr>
          <w:p w14:paraId="0BA028A5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0BC16492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1CDB3133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0873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60" w:type="dxa"/>
            <w:vAlign w:val="center"/>
          </w:tcPr>
          <w:p w14:paraId="3F74CA44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13</w:t>
            </w:r>
          </w:p>
        </w:tc>
        <w:tc>
          <w:tcPr>
            <w:tcW w:w="1644" w:type="dxa"/>
            <w:vAlign w:val="center"/>
          </w:tcPr>
          <w:p w14:paraId="392486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7B4AB3E3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20" w:name="OLE_LINK21"/>
            <w:bookmarkStart w:id="21" w:name="OLE_LINK22"/>
            <w:r>
              <w:rPr>
                <w:rFonts w:hint="eastAsia"/>
                <w:sz w:val="24"/>
              </w:rPr>
              <w:t>破坏基本农田</w:t>
            </w:r>
            <w:bookmarkEnd w:id="20"/>
            <w:bookmarkEnd w:id="21"/>
            <w:r>
              <w:rPr>
                <w:rFonts w:hint="eastAsia"/>
                <w:sz w:val="24"/>
              </w:rPr>
              <w:t>、毁坏种植条件的处罚</w:t>
            </w:r>
          </w:p>
        </w:tc>
        <w:tc>
          <w:tcPr>
            <w:tcW w:w="1434" w:type="dxa"/>
            <w:vAlign w:val="center"/>
          </w:tcPr>
          <w:p w14:paraId="21098B5E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348EFA39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56DE9F74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4DF04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660" w:type="dxa"/>
            <w:vAlign w:val="center"/>
          </w:tcPr>
          <w:p w14:paraId="1276E3CE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</w:t>
            </w:r>
          </w:p>
        </w:tc>
        <w:tc>
          <w:tcPr>
            <w:tcW w:w="1644" w:type="dxa"/>
            <w:vAlign w:val="center"/>
          </w:tcPr>
          <w:p w14:paraId="59EB16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0DA6BBBB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市容</w:t>
            </w:r>
            <w:bookmarkStart w:id="22" w:name="OLE_LINK23"/>
            <w:bookmarkStart w:id="23" w:name="OLE_LINK24"/>
            <w:r>
              <w:rPr>
                <w:rFonts w:hint="eastAsia"/>
                <w:sz w:val="24"/>
              </w:rPr>
              <w:t>环境卫生管理</w:t>
            </w:r>
            <w:bookmarkEnd w:id="22"/>
            <w:bookmarkEnd w:id="23"/>
            <w:r>
              <w:rPr>
                <w:rFonts w:hint="eastAsia"/>
                <w:sz w:val="24"/>
              </w:rPr>
              <w:t>方面违法行为的处罚</w:t>
            </w:r>
          </w:p>
        </w:tc>
        <w:tc>
          <w:tcPr>
            <w:tcW w:w="1434" w:type="dxa"/>
            <w:vAlign w:val="center"/>
          </w:tcPr>
          <w:p w14:paraId="47580A74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直接赋权</w:t>
            </w:r>
          </w:p>
        </w:tc>
        <w:tc>
          <w:tcPr>
            <w:tcW w:w="1589" w:type="dxa"/>
            <w:vAlign w:val="center"/>
          </w:tcPr>
          <w:p w14:paraId="1EAF5C97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23579992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6BB67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60" w:type="dxa"/>
            <w:vAlign w:val="center"/>
          </w:tcPr>
          <w:p w14:paraId="4BEAE9F1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15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29C8E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AB9A9E0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24" w:name="OLE_LINK25"/>
            <w:bookmarkStart w:id="25" w:name="OLE_LINK26"/>
            <w:r>
              <w:rPr>
                <w:rFonts w:hint="eastAsia"/>
                <w:sz w:val="24"/>
              </w:rPr>
              <w:t>绿化管理</w:t>
            </w:r>
            <w:bookmarkEnd w:id="24"/>
            <w:bookmarkEnd w:id="25"/>
            <w:r>
              <w:rPr>
                <w:rFonts w:hint="eastAsia"/>
                <w:sz w:val="24"/>
              </w:rPr>
              <w:t>违法违规行为的处罚</w:t>
            </w:r>
          </w:p>
        </w:tc>
        <w:tc>
          <w:tcPr>
            <w:tcW w:w="1434" w:type="dxa"/>
            <w:vAlign w:val="center"/>
          </w:tcPr>
          <w:p w14:paraId="69D0B911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直接赋权</w:t>
            </w:r>
          </w:p>
        </w:tc>
        <w:tc>
          <w:tcPr>
            <w:tcW w:w="1589" w:type="dxa"/>
            <w:vAlign w:val="center"/>
          </w:tcPr>
          <w:p w14:paraId="2F1EF1B3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46C074EC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  <w:tr w14:paraId="3951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60" w:type="dxa"/>
            <w:vAlign w:val="center"/>
          </w:tcPr>
          <w:p w14:paraId="4E4C01F8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16</w:t>
            </w:r>
          </w:p>
        </w:tc>
        <w:tc>
          <w:tcPr>
            <w:tcW w:w="1644" w:type="dxa"/>
            <w:vAlign w:val="center"/>
          </w:tcPr>
          <w:p w14:paraId="4B87A0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湘政办发〔2019〕55号</w:t>
            </w:r>
          </w:p>
        </w:tc>
        <w:tc>
          <w:tcPr>
            <w:tcW w:w="2716" w:type="dxa"/>
            <w:vAlign w:val="center"/>
          </w:tcPr>
          <w:p w14:paraId="4A7FCA1C">
            <w:pPr>
              <w:pStyle w:val="6"/>
              <w:spacing w:line="360" w:lineRule="exact"/>
              <w:jc w:val="center"/>
              <w:rPr>
                <w:sz w:val="24"/>
              </w:rPr>
            </w:pPr>
            <w:bookmarkStart w:id="26" w:name="OLE_LINK27"/>
            <w:bookmarkStart w:id="27" w:name="OLE_LINK28"/>
            <w:r>
              <w:rPr>
                <w:rFonts w:hint="eastAsia"/>
                <w:sz w:val="24"/>
              </w:rPr>
              <w:t>老年人优待证</w:t>
            </w:r>
            <w:bookmarkEnd w:id="26"/>
            <w:bookmarkEnd w:id="27"/>
            <w:r>
              <w:rPr>
                <w:rFonts w:hint="eastAsia"/>
                <w:sz w:val="24"/>
              </w:rPr>
              <w:t>办理</w:t>
            </w:r>
          </w:p>
        </w:tc>
        <w:tc>
          <w:tcPr>
            <w:tcW w:w="1434" w:type="dxa"/>
            <w:vAlign w:val="center"/>
          </w:tcPr>
          <w:p w14:paraId="18EE0328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委托下放</w:t>
            </w:r>
          </w:p>
        </w:tc>
        <w:tc>
          <w:tcPr>
            <w:tcW w:w="1589" w:type="dxa"/>
            <w:vAlign w:val="center"/>
          </w:tcPr>
          <w:p w14:paraId="6715EA59">
            <w:pPr>
              <w:pStyle w:val="6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乡镇</w:t>
            </w:r>
          </w:p>
        </w:tc>
        <w:tc>
          <w:tcPr>
            <w:tcW w:w="6559" w:type="dxa"/>
            <w:vAlign w:val="center"/>
          </w:tcPr>
          <w:p w14:paraId="58BF3777">
            <w:pPr>
              <w:pStyle w:val="6"/>
              <w:spacing w:line="36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中编办发〔</w:t>
            </w:r>
            <w:r>
              <w:rPr>
                <w:rFonts w:hint="eastAsia" w:ascii="Times New Roman"/>
                <w:sz w:val="24"/>
                <w:lang w:val="en-US"/>
              </w:rPr>
              <w:t>2024〕194号，</w:t>
            </w:r>
            <w:r>
              <w:rPr>
                <w:rFonts w:hint="eastAsia"/>
                <w:sz w:val="24"/>
              </w:rPr>
              <w:t>事项已纳入</w:t>
            </w:r>
            <w:r>
              <w:rPr>
                <w:rFonts w:hint="eastAsia" w:ascii="Times New Roman"/>
                <w:sz w:val="24"/>
                <w:lang w:val="en-US"/>
              </w:rPr>
              <w:t>乡镇收回事项清单。</w:t>
            </w:r>
          </w:p>
        </w:tc>
      </w:tr>
    </w:tbl>
    <w:p w14:paraId="3638F85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296348"/>
    <w:rsid w:val="0015289A"/>
    <w:rsid w:val="008F34BE"/>
    <w:rsid w:val="009B0745"/>
    <w:rsid w:val="00C75852"/>
    <w:rsid w:val="00FC0FD1"/>
    <w:rsid w:val="02D2242F"/>
    <w:rsid w:val="0B0D3F2D"/>
    <w:rsid w:val="0B16263E"/>
    <w:rsid w:val="11200625"/>
    <w:rsid w:val="20F3644C"/>
    <w:rsid w:val="2A3F4E5B"/>
    <w:rsid w:val="2EFE7987"/>
    <w:rsid w:val="383D502A"/>
    <w:rsid w:val="3BBF26CD"/>
    <w:rsid w:val="427C23A2"/>
    <w:rsid w:val="439A4D79"/>
    <w:rsid w:val="463E49BE"/>
    <w:rsid w:val="4E080D95"/>
    <w:rsid w:val="59296348"/>
    <w:rsid w:val="5F0F13AE"/>
    <w:rsid w:val="634373E8"/>
    <w:rsid w:val="6CDE55CC"/>
    <w:rsid w:val="6CE8573C"/>
    <w:rsid w:val="72AA36AE"/>
    <w:rsid w:val="73B95A69"/>
    <w:rsid w:val="78E73168"/>
    <w:rsid w:val="7B1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ind w:firstLine="640" w:firstLineChars="200"/>
      <w:jc w:val="both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3</Pages>
  <Words>1317</Words>
  <Characters>1491</Characters>
  <Lines>18</Lines>
  <Paragraphs>5</Paragraphs>
  <TotalTime>1</TotalTime>
  <ScaleCrop>false</ScaleCrop>
  <LinksUpToDate>false</LinksUpToDate>
  <CharactersWithSpaces>1505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2025-06-16T12:17:00Z</dcterms:created>
  <dc:creator>Muses。จุ๊บ</dc:creator>
  <cp:lastModifiedBy>办公室</cp:lastModifiedBy>
  <cp:lastPrinted>2025-06-19T06:35:00Z</cp:lastPrinted>
  <dcterms:modified xsi:type="dcterms:W3CDTF">2025-06-20T01:29:06Z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9501099E252D49F49AD2F8E5072A52DB_13</vt:lpwstr>
  </property>
  <property fmtid="{D5CDD505-2E9C-101B-9397-08002B2CF9AE}" pid="4" name="KSOTemplateDocerSaveRecord">
    <vt:lpwstr>eyJoZGlkIjoiNWI5N2JkMWJkZjdjNGNhYTk5YTg4NmU5OTg0MTMwNGIiLCJ1c2VySWQiOiI0MDY3ODc1MzMifQ==</vt:lpwstr>
  </property>
</Properties>
</file>