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9A709">
      <w:pPr>
        <w:pStyle w:val="4"/>
      </w:pPr>
    </w:p>
    <w:p w14:paraId="160218BC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7EFED802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7A4323EB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01888F5C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59E81EB7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kern w:val="0"/>
          <w:sz w:val="44"/>
          <w:szCs w:val="44"/>
        </w:rPr>
        <w:t>年度</w:t>
      </w:r>
      <w:r>
        <w:rPr>
          <w:rFonts w:eastAsia="方正小标宋简体"/>
          <w:kern w:val="0"/>
          <w:sz w:val="44"/>
          <w:szCs w:val="44"/>
        </w:rPr>
        <w:t>部门整体支出绩效报告</w:t>
      </w:r>
      <w:r>
        <w:rPr>
          <w:rFonts w:eastAsia="方正小标宋简体"/>
          <w:kern w:val="0"/>
          <w:sz w:val="44"/>
          <w:szCs w:val="44"/>
        </w:rPr>
        <w:br w:type="textWrapping"/>
      </w:r>
    </w:p>
    <w:p w14:paraId="7D1854FA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243DED0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7CA33EA0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05A71010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2E75C065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桃江县城市管理和综合执法局</w:t>
      </w:r>
    </w:p>
    <w:p w14:paraId="7CF8924C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65B8EB53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71027187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4402E08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0E057096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1AC33D17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6273A6B5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6D5E1FB4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230098E6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25012C89">
      <w:pPr>
        <w:widowControl/>
        <w:spacing w:line="594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</w:t>
      </w:r>
    </w:p>
    <w:p w14:paraId="34DC52B8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</w:p>
    <w:p w14:paraId="259AA671">
      <w:pPr>
        <w:widowControl/>
        <w:spacing w:line="594" w:lineRule="exact"/>
        <w:ind w:firstLine="640" w:firstLineChars="200"/>
        <w:rPr>
          <w:rFonts w:hint="eastAsia" w:eastAsia="黑体"/>
          <w:bCs/>
          <w:kern w:val="0"/>
          <w:szCs w:val="32"/>
          <w:lang w:eastAsia="zh-CN"/>
        </w:rPr>
      </w:pPr>
    </w:p>
    <w:p w14:paraId="0CD44104">
      <w:pPr>
        <w:widowControl/>
        <w:spacing w:line="594" w:lineRule="exact"/>
        <w:ind w:firstLine="3200" w:firstLineChars="1000"/>
        <w:rPr>
          <w:rFonts w:hint="eastAsia" w:eastAsia="黑体"/>
          <w:bCs/>
          <w:kern w:val="0"/>
          <w:szCs w:val="32"/>
          <w:lang w:eastAsia="zh-CN"/>
        </w:rPr>
      </w:pPr>
      <w:r>
        <w:rPr>
          <w:rFonts w:hint="eastAsia" w:eastAsia="黑体"/>
          <w:bCs/>
          <w:kern w:val="0"/>
          <w:szCs w:val="32"/>
          <w:lang w:eastAsia="zh-CN"/>
        </w:rPr>
        <w:t>目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   </w:t>
      </w:r>
      <w:r>
        <w:rPr>
          <w:rFonts w:hint="eastAsia" w:eastAsia="黑体"/>
          <w:bCs/>
          <w:kern w:val="0"/>
          <w:szCs w:val="32"/>
          <w:lang w:eastAsia="zh-CN"/>
        </w:rPr>
        <w:t>录</w:t>
      </w:r>
    </w:p>
    <w:p w14:paraId="60264A16">
      <w:pPr>
        <w:widowControl/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 xml:space="preserve"> 一、部门概况</w:t>
      </w:r>
    </w:p>
    <w:p w14:paraId="03BF1339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（一）部门基本情况</w:t>
      </w:r>
    </w:p>
    <w:p w14:paraId="2B99D71E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（二）部门整体支出规模</w:t>
      </w:r>
    </w:p>
    <w:p w14:paraId="38D91B7F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  <w:lang w:eastAsia="zh-CN"/>
        </w:rPr>
        <w:t>（三）部门整体支出</w:t>
      </w:r>
      <w:r>
        <w:rPr>
          <w:kern w:val="0"/>
          <w:szCs w:val="32"/>
        </w:rPr>
        <w:t>使用方向和主要内容、涉及范围</w:t>
      </w:r>
    </w:p>
    <w:p w14:paraId="066B14B9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  <w:lang w:eastAsia="zh-CN"/>
        </w:rPr>
        <w:t>四</w:t>
      </w:r>
      <w:r>
        <w:rPr>
          <w:kern w:val="0"/>
          <w:szCs w:val="32"/>
        </w:rPr>
        <w:t>）绩效目标设立情况</w:t>
      </w:r>
    </w:p>
    <w:p w14:paraId="33C9FB42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二、部门整体支出管理及使用情况分析</w:t>
      </w:r>
    </w:p>
    <w:p w14:paraId="442B0350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楷体_GB2312"/>
          <w:kern w:val="0"/>
          <w:szCs w:val="32"/>
        </w:rPr>
        <w:t>（</w:t>
      </w:r>
      <w:r>
        <w:rPr>
          <w:kern w:val="0"/>
          <w:szCs w:val="32"/>
        </w:rPr>
        <w:t>一）基本支出</w:t>
      </w:r>
    </w:p>
    <w:p w14:paraId="377F0B46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（二）项目支出</w:t>
      </w:r>
    </w:p>
    <w:p w14:paraId="44B91125"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</w:t>
      </w:r>
      <w:r>
        <w:rPr>
          <w:rFonts w:hint="eastAsia"/>
          <w:kern w:val="0"/>
          <w:szCs w:val="32"/>
          <w:lang w:eastAsia="zh-CN"/>
        </w:rPr>
        <w:t>1.项目资金安排落实、总投入等情况分析。</w:t>
      </w:r>
    </w:p>
    <w:p w14:paraId="08387D6E"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2.</w:t>
      </w:r>
      <w:r>
        <w:rPr>
          <w:rFonts w:hint="eastAsia"/>
          <w:kern w:val="0"/>
          <w:szCs w:val="32"/>
          <w:lang w:eastAsia="zh-CN"/>
        </w:rPr>
        <w:t>项目资金（财政资金）实际使用情况分析。</w:t>
      </w:r>
    </w:p>
    <w:p w14:paraId="515A474B">
      <w:pPr>
        <w:widowControl/>
        <w:spacing w:line="594" w:lineRule="exact"/>
        <w:ind w:firstLine="640" w:firstLineChars="20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3.</w:t>
      </w:r>
      <w:r>
        <w:rPr>
          <w:rFonts w:hint="eastAsia"/>
          <w:kern w:val="0"/>
          <w:szCs w:val="32"/>
          <w:lang w:eastAsia="zh-CN"/>
        </w:rPr>
        <w:t>项目资金管理情况分析。</w:t>
      </w:r>
    </w:p>
    <w:p w14:paraId="0C52D273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三、项目组织实施情况分析</w:t>
      </w:r>
    </w:p>
    <w:p w14:paraId="07419F44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（一）项目组织情况分析</w:t>
      </w:r>
    </w:p>
    <w:p w14:paraId="05678F13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（二）项目管理情况分析</w:t>
      </w:r>
    </w:p>
    <w:p w14:paraId="47515505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 w14:paraId="28D389E6"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（一）</w:t>
      </w:r>
      <w:r>
        <w:rPr>
          <w:kern w:val="0"/>
          <w:szCs w:val="32"/>
        </w:rPr>
        <w:t>经济性</w:t>
      </w:r>
      <w:r>
        <w:rPr>
          <w:rFonts w:hint="eastAsia"/>
          <w:kern w:val="0"/>
          <w:szCs w:val="32"/>
          <w:lang w:eastAsia="zh-CN"/>
        </w:rPr>
        <w:t>分析</w:t>
      </w:r>
    </w:p>
    <w:p w14:paraId="50985DC6">
      <w:pPr>
        <w:widowControl/>
        <w:spacing w:line="594" w:lineRule="exact"/>
        <w:ind w:firstLine="640" w:firstLineChars="200"/>
        <w:rPr>
          <w:rFonts w:hint="eastAsia" w:eastAsia="仿宋_GB2312"/>
          <w:bCs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（二）</w:t>
      </w:r>
      <w:r>
        <w:rPr>
          <w:kern w:val="0"/>
          <w:szCs w:val="32"/>
        </w:rPr>
        <w:t>效率性</w:t>
      </w:r>
      <w:r>
        <w:rPr>
          <w:rFonts w:hint="eastAsia"/>
          <w:kern w:val="0"/>
          <w:szCs w:val="32"/>
          <w:lang w:eastAsia="zh-CN"/>
        </w:rPr>
        <w:t>分析</w:t>
      </w:r>
    </w:p>
    <w:p w14:paraId="034F3671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 w14:paraId="50FAB892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（一）绩效评价目的。</w:t>
      </w:r>
    </w:p>
    <w:p w14:paraId="0747B5D4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（二）绩效评价工作过程，</w:t>
      </w:r>
    </w:p>
    <w:p w14:paraId="77F1D0F8"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六、存在的主要问题</w:t>
      </w:r>
    </w:p>
    <w:p w14:paraId="0E232806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</w:p>
    <w:p w14:paraId="1C538328">
      <w:pPr>
        <w:widowControl/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>一、部门概况</w:t>
      </w:r>
    </w:p>
    <w:p w14:paraId="7AC3A01F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（一）部门基本情况</w:t>
      </w:r>
    </w:p>
    <w:p w14:paraId="2C58C302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1、机构设置</w:t>
      </w:r>
    </w:p>
    <w:p w14:paraId="7F9D3D0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全额拨款</w:t>
      </w:r>
      <w:r>
        <w:rPr>
          <w:rFonts w:hint="eastAsia" w:ascii="仿宋" w:hAnsi="仿宋" w:eastAsia="仿宋"/>
          <w:sz w:val="32"/>
          <w:szCs w:val="32"/>
          <w:lang w:eastAsia="zh-CN"/>
        </w:rPr>
        <w:t>行政</w:t>
      </w:r>
      <w:r>
        <w:rPr>
          <w:rFonts w:hint="eastAsia" w:ascii="仿宋" w:hAnsi="仿宋" w:eastAsia="仿宋"/>
          <w:sz w:val="32"/>
          <w:szCs w:val="32"/>
        </w:rPr>
        <w:t>单位1个：桃江县城市管理</w:t>
      </w:r>
      <w:r>
        <w:rPr>
          <w:rFonts w:hint="eastAsia" w:ascii="仿宋" w:hAnsi="仿宋" w:eastAsia="仿宋"/>
          <w:sz w:val="32"/>
          <w:szCs w:val="32"/>
          <w:lang w:eastAsia="zh-CN"/>
        </w:rPr>
        <w:t>和综合</w:t>
      </w:r>
      <w:r>
        <w:rPr>
          <w:rFonts w:hint="eastAsia" w:ascii="仿宋" w:hAnsi="仿宋" w:eastAsia="仿宋"/>
          <w:sz w:val="32"/>
          <w:szCs w:val="32"/>
        </w:rPr>
        <w:t>执法局</w:t>
      </w:r>
    </w:p>
    <w:p w14:paraId="641839F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</w:t>
      </w:r>
      <w:r>
        <w:rPr>
          <w:rFonts w:hint="eastAsia" w:ascii="仿宋" w:hAnsi="仿宋" w:eastAsia="仿宋"/>
          <w:sz w:val="32"/>
          <w:szCs w:val="32"/>
          <w:lang w:eastAsia="zh-CN"/>
        </w:rPr>
        <w:t>全额拨款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个：桃江县路灯管理所</w:t>
      </w:r>
      <w:r>
        <w:rPr>
          <w:rFonts w:hint="eastAsia" w:ascii="仿宋" w:hAnsi="仿宋" w:eastAsia="仿宋"/>
          <w:sz w:val="32"/>
          <w:szCs w:val="32"/>
          <w:lang w:eastAsia="zh-CN"/>
        </w:rPr>
        <w:t>、桃江县城市管理综合执法大队、</w:t>
      </w:r>
      <w:r>
        <w:rPr>
          <w:rFonts w:hint="eastAsia" w:ascii="仿宋" w:hAnsi="仿宋" w:eastAsia="仿宋"/>
          <w:sz w:val="32"/>
          <w:szCs w:val="32"/>
        </w:rPr>
        <w:t>桃江县市政设施管理站、桃江县环境卫生</w:t>
      </w:r>
      <w:r>
        <w:rPr>
          <w:rFonts w:hint="eastAsia" w:ascii="仿宋" w:hAnsi="仿宋" w:eastAsia="仿宋"/>
          <w:sz w:val="32"/>
          <w:szCs w:val="32"/>
          <w:lang w:eastAsia="zh-CN"/>
        </w:rPr>
        <w:t>服务中心。其中</w:t>
      </w:r>
      <w:r>
        <w:rPr>
          <w:rFonts w:hint="eastAsia" w:ascii="仿宋" w:hAnsi="仿宋" w:eastAsia="仿宋"/>
          <w:sz w:val="32"/>
          <w:szCs w:val="32"/>
        </w:rPr>
        <w:t>桃江县市政设施管理站、桃江县</w:t>
      </w:r>
      <w:r>
        <w:rPr>
          <w:rFonts w:hint="eastAsia" w:ascii="仿宋" w:hAnsi="仿宋" w:eastAsia="仿宋"/>
          <w:sz w:val="32"/>
          <w:szCs w:val="32"/>
          <w:lang w:eastAsia="zh-CN"/>
        </w:rPr>
        <w:t>环境卫生服务中心、桃江县路灯管理所</w:t>
      </w:r>
      <w:r>
        <w:rPr>
          <w:rFonts w:hint="eastAsia" w:ascii="仿宋" w:hAnsi="仿宋" w:eastAsia="仿宋"/>
          <w:sz w:val="32"/>
          <w:szCs w:val="32"/>
        </w:rPr>
        <w:t>单独填报</w:t>
      </w:r>
      <w:r>
        <w:rPr>
          <w:rFonts w:hint="eastAsia" w:ascii="仿宋" w:hAnsi="仿宋" w:eastAsia="仿宋"/>
          <w:sz w:val="32"/>
          <w:szCs w:val="32"/>
          <w:lang w:eastAsia="zh-CN"/>
        </w:rPr>
        <w:t>预算、</w:t>
      </w:r>
      <w:r>
        <w:rPr>
          <w:rFonts w:hint="eastAsia" w:ascii="仿宋" w:hAnsi="仿宋" w:eastAsia="仿宋"/>
          <w:sz w:val="32"/>
          <w:szCs w:val="32"/>
        </w:rPr>
        <w:t>决算报表</w:t>
      </w:r>
      <w:r>
        <w:rPr>
          <w:rFonts w:hint="eastAsia" w:ascii="仿宋" w:hAnsi="仿宋" w:eastAsia="仿宋"/>
          <w:sz w:val="32"/>
          <w:szCs w:val="32"/>
          <w:lang w:eastAsia="zh-CN"/>
        </w:rPr>
        <w:t>，未在本整体支出绩效评价报告中反映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A1DDF77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我局下设办公室、人事教育股、计划财务股、政策法规股、</w:t>
      </w:r>
      <w:r>
        <w:rPr>
          <w:rFonts w:hint="eastAsia" w:ascii="仿宋" w:hAnsi="仿宋" w:eastAsia="仿宋"/>
          <w:sz w:val="32"/>
          <w:szCs w:val="32"/>
          <w:lang w:eastAsia="zh-CN"/>
        </w:rPr>
        <w:t>行政审批服务</w:t>
      </w:r>
      <w:r>
        <w:rPr>
          <w:rFonts w:hint="eastAsia" w:ascii="仿宋" w:hAnsi="仿宋" w:eastAsia="仿宋"/>
          <w:sz w:val="32"/>
          <w:szCs w:val="32"/>
        </w:rPr>
        <w:t>股、督查股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个股室。</w:t>
      </w:r>
    </w:p>
    <w:p w14:paraId="4383BD35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2、人员构成</w:t>
      </w:r>
    </w:p>
    <w:p w14:paraId="0DF28A26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全额拨款行政人员：年初在职人数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8人，年末7人；</w:t>
      </w:r>
    </w:p>
    <w:p w14:paraId="79C54D7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财政补助</w:t>
      </w:r>
      <w:r>
        <w:rPr>
          <w:rFonts w:hint="eastAsia" w:ascii="仿宋" w:hAnsi="仿宋" w:eastAsia="仿宋"/>
          <w:sz w:val="32"/>
          <w:szCs w:val="32"/>
        </w:rPr>
        <w:t>事业人员：</w:t>
      </w:r>
      <w:r>
        <w:rPr>
          <w:rFonts w:hint="eastAsia" w:ascii="仿宋" w:hAnsi="仿宋" w:eastAsia="仿宋"/>
          <w:sz w:val="32"/>
          <w:szCs w:val="32"/>
          <w:lang w:eastAsia="zh-CN"/>
        </w:rPr>
        <w:t>年初</w:t>
      </w:r>
      <w:r>
        <w:rPr>
          <w:rFonts w:hint="eastAsia" w:ascii="仿宋" w:hAnsi="仿宋" w:eastAsia="仿宋"/>
          <w:sz w:val="32"/>
          <w:szCs w:val="32"/>
        </w:rPr>
        <w:t>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99人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年末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99人，</w:t>
      </w:r>
      <w:r>
        <w:rPr>
          <w:rFonts w:hint="eastAsia" w:ascii="仿宋" w:hAnsi="仿宋" w:eastAsia="仿宋"/>
          <w:sz w:val="32"/>
          <w:szCs w:val="32"/>
        </w:rPr>
        <w:t>退休人员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4C5405B8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b/>
          <w:sz w:val="32"/>
          <w:szCs w:val="32"/>
        </w:rPr>
        <w:t>部门主要工作职责</w:t>
      </w:r>
    </w:p>
    <w:p w14:paraId="0EE19115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①</w:t>
      </w:r>
      <w:r>
        <w:rPr>
          <w:rFonts w:hint="eastAsia" w:ascii="仿宋" w:hAnsi="仿宋" w:eastAsia="仿宋"/>
          <w:sz w:val="32"/>
        </w:rPr>
        <w:t>贯彻执行国家和地方关于城市管理法律、法规、规章和方针、政策。</w:t>
      </w:r>
    </w:p>
    <w:p w14:paraId="7C912140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②</w:t>
      </w:r>
      <w:r>
        <w:rPr>
          <w:rFonts w:hint="eastAsia" w:ascii="仿宋" w:hAnsi="仿宋" w:eastAsia="仿宋"/>
          <w:sz w:val="32"/>
        </w:rPr>
        <w:t>研究制定全县城市管理发展规划、年度计划，起草全县城市管理规范性文件及相关的政策、措施，经批准后组织实施；负责全县城市综合管理的组织、指挥、检查、监督、调度、协调和宣传工作。</w:t>
      </w:r>
    </w:p>
    <w:p w14:paraId="1AB0752C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③</w:t>
      </w:r>
      <w:r>
        <w:rPr>
          <w:rFonts w:hint="eastAsia" w:ascii="仿宋" w:hAnsi="仿宋" w:eastAsia="仿宋"/>
          <w:sz w:val="32"/>
        </w:rPr>
        <w:t>负责市容环境卫生、城市建筑垃圾、城市照明、城市绿化、城市道路、城市市政公用设施的监督和行政处罚权利；负责行使《桃江县城市管理相对集中行政处罚权实施办法》（桃政办发【2015】48号）规定的环境保护、城乡规划、工商行政管理方面的行政处罚和县人民政府授权的其他行政处罚。</w:t>
      </w:r>
    </w:p>
    <w:p w14:paraId="6BAC493D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④</w:t>
      </w:r>
      <w:r>
        <w:rPr>
          <w:rFonts w:hint="eastAsia" w:ascii="仿宋" w:hAnsi="仿宋" w:eastAsia="仿宋"/>
          <w:sz w:val="32"/>
        </w:rPr>
        <w:t>负责路灯照明设施、市政设施、环卫设施的维护管理工作；负责县城洗车场、渣土消纳场、弃土场的管理工作。</w:t>
      </w:r>
    </w:p>
    <w:p w14:paraId="0118FB15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⑤</w:t>
      </w:r>
      <w:r>
        <w:rPr>
          <w:rFonts w:hint="eastAsia" w:ascii="仿宋" w:hAnsi="仿宋" w:eastAsia="仿宋"/>
          <w:sz w:val="32"/>
          <w:lang w:val="en-US" w:eastAsia="zh-CN"/>
        </w:rPr>
        <w:t>、</w:t>
      </w:r>
      <w:r>
        <w:rPr>
          <w:rFonts w:hint="eastAsia" w:ascii="仿宋" w:hAnsi="仿宋" w:eastAsia="仿宋"/>
          <w:sz w:val="32"/>
        </w:rPr>
        <w:t>负责依法组织征收渣土调配费、城市生活垃圾处理费、异地绿化费、城市道路临时占用费和挖掘修复费。</w:t>
      </w:r>
    </w:p>
    <w:p w14:paraId="5BEBE661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⑥</w:t>
      </w:r>
      <w:r>
        <w:rPr>
          <w:rFonts w:hint="eastAsia" w:ascii="仿宋" w:hAnsi="仿宋" w:eastAsia="仿宋"/>
          <w:sz w:val="32"/>
        </w:rPr>
        <w:t>参与市政、环卫、路灯等城市基础设施建设项目的可行性研究、方案审查和工程竣工备案及城乡规划审查、实施和验收工作。</w:t>
      </w:r>
    </w:p>
    <w:p w14:paraId="78466301"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⑦</w:t>
      </w:r>
      <w:r>
        <w:rPr>
          <w:rFonts w:hint="eastAsia" w:ascii="仿宋" w:hAnsi="仿宋" w:eastAsia="仿宋"/>
          <w:sz w:val="32"/>
        </w:rPr>
        <w:t>负责县城规划区内的查违控违拆违监督管理工作，对违法建设进行制止和强制拆除；组织建设项目工程规划竣工验收。</w:t>
      </w:r>
    </w:p>
    <w:p w14:paraId="1BC2C8D3">
      <w:pPr>
        <w:spacing w:line="560" w:lineRule="exact"/>
        <w:ind w:firstLine="560" w:firstLineChars="200"/>
        <w:rPr>
          <w:kern w:val="0"/>
          <w:szCs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⑧</w:t>
      </w:r>
      <w:r>
        <w:rPr>
          <w:rFonts w:hint="eastAsia" w:ascii="仿宋" w:hAnsi="仿宋" w:eastAsia="仿宋"/>
          <w:sz w:val="32"/>
        </w:rPr>
        <w:t>承办县委、县人民政府交办的其他事项。</w:t>
      </w:r>
    </w:p>
    <w:p w14:paraId="58C74F41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）部门整体支出规模</w:t>
      </w:r>
    </w:p>
    <w:p w14:paraId="09DDFA42">
      <w:pPr>
        <w:widowControl/>
        <w:spacing w:line="560" w:lineRule="exact"/>
        <w:ind w:firstLine="643" w:firstLineChars="200"/>
        <w:jc w:val="left"/>
        <w:rPr>
          <w:rFonts w:hint="eastAsia" w:ascii="楷体" w:hAnsi="楷体" w:eastAsia="楷体" w:cs="Tahoma"/>
          <w:b/>
          <w:kern w:val="0"/>
          <w:sz w:val="32"/>
          <w:szCs w:val="32"/>
        </w:rPr>
      </w:pPr>
      <w:r>
        <w:rPr>
          <w:rFonts w:hint="eastAsia" w:ascii="楷体" w:hAnsi="楷体" w:eastAsia="楷体" w:cs="Tahoma"/>
          <w:b/>
          <w:kern w:val="0"/>
          <w:sz w:val="32"/>
          <w:szCs w:val="32"/>
        </w:rPr>
        <w:t>1、收入</w:t>
      </w:r>
    </w:p>
    <w:p w14:paraId="429E44E3">
      <w:pPr>
        <w:widowControl/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财政资金年初预算数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1363.52万元，预算调整数2932.92</w:t>
      </w:r>
      <w:r>
        <w:rPr>
          <w:rFonts w:hint="eastAsia" w:ascii="仿宋" w:hAnsi="仿宋" w:eastAsia="仿宋" w:cs="Tahoma"/>
          <w:kern w:val="0"/>
          <w:sz w:val="32"/>
          <w:szCs w:val="32"/>
        </w:rPr>
        <w:t>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年末决算数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4296.44万元。</w:t>
      </w:r>
    </w:p>
    <w:p w14:paraId="6ED119D3">
      <w:pPr>
        <w:widowControl/>
        <w:spacing w:line="560" w:lineRule="exact"/>
        <w:ind w:firstLine="643" w:firstLineChars="200"/>
        <w:jc w:val="left"/>
        <w:rPr>
          <w:rFonts w:hint="default" w:ascii="楷体" w:hAnsi="楷体" w:eastAsia="楷体" w:cs="Tahoma"/>
          <w:b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Tahoma"/>
          <w:b/>
          <w:kern w:val="0"/>
          <w:sz w:val="32"/>
          <w:szCs w:val="32"/>
        </w:rPr>
        <w:t>2、支出</w:t>
      </w:r>
    </w:p>
    <w:p w14:paraId="742975A3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1427.76</w:t>
      </w:r>
      <w:r>
        <w:rPr>
          <w:rFonts w:hint="eastAsia" w:ascii="仿宋" w:hAnsi="仿宋" w:eastAsia="仿宋" w:cs="Tahoma"/>
          <w:kern w:val="0"/>
          <w:sz w:val="32"/>
          <w:szCs w:val="32"/>
        </w:rPr>
        <w:t>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2868.68万元，合计4296.44万元。</w:t>
      </w:r>
    </w:p>
    <w:p w14:paraId="036177CD">
      <w:pPr>
        <w:widowControl/>
        <w:numPr>
          <w:ilvl w:val="0"/>
          <w:numId w:val="1"/>
        </w:numPr>
        <w:spacing w:line="560" w:lineRule="exact"/>
        <w:ind w:left="6" w:leftChars="0" w:firstLine="640" w:firstLineChars="0"/>
        <w:jc w:val="left"/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  <w:t>部门整体支出使用方向及主要内容、涉及的范围</w:t>
      </w:r>
    </w:p>
    <w:p w14:paraId="3DE7CD2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整体支出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1427.76万元，主要用于人员工资福利支出及一般公务支出，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包含工资福利支出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1302.53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商品服务支出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114.87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万元、对个人和家庭的补助支出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10.35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三公经费决算数为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9万元，其中公务用车运行维护8.38万元，用于部分执法执勤车的运行维护。公务接待费0.62万元，我局严格落实中央八项规定，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公务接待支出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按《桃江县党政机关国内公务接待管理实施细则（桃办公发[2020]3号）文件相关规定严格执行。</w:t>
      </w:r>
    </w:p>
    <w:p w14:paraId="44F4B169">
      <w:pPr>
        <w:tabs>
          <w:tab w:val="left" w:pos="5175"/>
        </w:tabs>
        <w:spacing w:line="560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部门整体支出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中项目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支出总投入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3464.42万元，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主要用</w:t>
      </w:r>
      <w:r>
        <w:rPr>
          <w:rFonts w:hint="eastAsia" w:ascii="仿宋" w:hAnsi="仿宋" w:eastAsia="仿宋" w:cs="Tahoma"/>
          <w:kern w:val="0"/>
          <w:sz w:val="32"/>
          <w:szCs w:val="32"/>
        </w:rPr>
        <w:t>于桃江县城市管理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和综合执法局</w:t>
      </w:r>
      <w:r>
        <w:rPr>
          <w:rFonts w:hint="eastAsia" w:ascii="仿宋" w:hAnsi="仿宋" w:eastAsia="仿宋" w:cs="Tahoma"/>
          <w:kern w:val="0"/>
          <w:sz w:val="32"/>
          <w:szCs w:val="32"/>
        </w:rPr>
        <w:t>及下属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城市管理综合执法大队</w:t>
      </w:r>
      <w:r>
        <w:rPr>
          <w:rFonts w:hint="eastAsia" w:ascii="仿宋" w:hAnsi="仿宋" w:eastAsia="仿宋" w:cs="Tahoma"/>
          <w:kern w:val="0"/>
          <w:sz w:val="32"/>
          <w:szCs w:val="32"/>
        </w:rPr>
        <w:t>开展城市管理事务而发生的各项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业务</w:t>
      </w:r>
      <w:r>
        <w:rPr>
          <w:rFonts w:hint="eastAsia" w:ascii="仿宋" w:hAnsi="仿宋" w:eastAsia="仿宋" w:cs="Tahoma"/>
          <w:kern w:val="0"/>
          <w:sz w:val="32"/>
          <w:szCs w:val="32"/>
        </w:rPr>
        <w:t>支出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。</w:t>
      </w:r>
    </w:p>
    <w:p w14:paraId="00AF08FF">
      <w:pPr>
        <w:numPr>
          <w:ilvl w:val="0"/>
          <w:numId w:val="0"/>
        </w:numPr>
        <w:tabs>
          <w:tab w:val="left" w:pos="5175"/>
        </w:tabs>
        <w:spacing w:line="560" w:lineRule="exact"/>
        <w:ind w:left="646" w:leftChars="0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（四）绩效目标设立情况</w:t>
      </w:r>
    </w:p>
    <w:p w14:paraId="76912687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年度目标：一确保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名干职工及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名退休职工的工资福利发放到位，按时缴纳社会保障费用；二保质保量完成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本职工作；三完成七项基础工作及县委县政府的的重点工作考核任务；四是加强城市管理，创建卫生县城。</w:t>
      </w:r>
    </w:p>
    <w:p w14:paraId="1EDCC3E9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中长期目标：深化城市精细化管理，逐步推进城市管理精细化向网格化、信息化纵深发展，稳步提升城市管理和服务水平。</w:t>
      </w:r>
    </w:p>
    <w:p w14:paraId="2EB8FBD5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二、部门整体支出管理及使用情况分析</w:t>
      </w:r>
    </w:p>
    <w:p w14:paraId="408F4497"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（一）基本支出</w:t>
      </w:r>
    </w:p>
    <w:p w14:paraId="106C456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主要用于人员工资福利支出及一般公务支出，我局制定了《财务管理制度》《财务审批内控制度》，要求首先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应当保证本部门履行基本职能所需要的人员经费和公用经费，对其他弹性支出和专项支出应当严格控制。 人员支出必须严格按照国家政策规定和标准，逐项核定，没有政策规定的项目，不得列支。日常公用支出预算的编制应本着节约、从俭的原则编报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工资福利支出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1302.53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万元、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商品服务支出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114.87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万元、对个人和家庭的补助支出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10.35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三公经费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决算数为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9万元，其中公务用车运行维护8.38万元，用于部分执法执勤车的运行维护。公务接待费0.62万元，我局严格落实中央八项规定，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公务接待支出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按《桃江县党政机关国内公务接待管理实施细则（桃办公发[2020]3号）文件相关规定严格执行。</w:t>
      </w:r>
    </w:p>
    <w:p w14:paraId="17D6C7A9"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  <w:t>（二）项目支出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  <w:tab/>
      </w:r>
    </w:p>
    <w:p w14:paraId="266FCEE6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1.项目资金安排落实、总投入等情况分析。</w:t>
      </w:r>
    </w:p>
    <w:p w14:paraId="101414F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部门整体支出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支出财政资金年初预算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237万元，年中追加3227.42万元，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总投入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3464.42万元，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主要项目如下：</w:t>
      </w:r>
    </w:p>
    <w:p w14:paraId="031F98D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一般债券：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1563.14万</w:t>
      </w:r>
    </w:p>
    <w:p w14:paraId="4565C89E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政府性基金：359.09万</w:t>
      </w:r>
    </w:p>
    <w:p w14:paraId="44CD1F7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一般行政管理事务：185.15万</w:t>
      </w:r>
    </w:p>
    <w:p w14:paraId="60D3CD3E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城管执法：225万</w:t>
      </w:r>
    </w:p>
    <w:p w14:paraId="3940CB8B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小城镇基础设施建设：238万</w:t>
      </w:r>
    </w:p>
    <w:p w14:paraId="33B8DD7F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其他城乡社区公共设施支出：261.5万</w:t>
      </w:r>
    </w:p>
    <w:p w14:paraId="514BAF7A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其他城乡社区支出：19.8万</w:t>
      </w:r>
    </w:p>
    <w:p w14:paraId="5E079B1C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其他巩固脱贫攻坚成果衔接乡村振兴支出：2万</w:t>
      </w:r>
    </w:p>
    <w:p w14:paraId="01211C95">
      <w:pPr>
        <w:pStyle w:val="2"/>
        <w:ind w:firstLine="64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灾害风险防治：15万</w:t>
      </w:r>
    </w:p>
    <w:p w14:paraId="68B2DF82">
      <w:pPr>
        <w:pStyle w:val="2"/>
        <w:ind w:firstLine="64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结算专户其他支出：595.74万</w:t>
      </w:r>
    </w:p>
    <w:p w14:paraId="6BDFCBE0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另有年初项目支出预算的城管综合工作经费决算时计入基本支出里。</w:t>
      </w:r>
    </w:p>
    <w:p w14:paraId="17F6FA94">
      <w:pPr>
        <w:pStyle w:val="2"/>
        <w:numPr>
          <w:ilvl w:val="0"/>
          <w:numId w:val="2"/>
        </w:numPr>
        <w:ind w:firstLine="640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项目资金（财政资金）实际使用情况分析。</w:t>
      </w:r>
    </w:p>
    <w:p w14:paraId="5D45945F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2024年项目资金共计3464.42万元，其中商品和服务支出3464.42万元。</w:t>
      </w:r>
    </w:p>
    <w:p w14:paraId="3BF5064E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项目资金管理情况分析。</w:t>
      </w:r>
    </w:p>
    <w:p w14:paraId="51635B7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按照我局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《财务管理制度》《项目资金管理办法》规定项目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资金支出应紧密结合单位当年主要职责任务、工作目标及事业发展设想，并充分考虑单位财力，本着实事求是，从严从紧、区别轻重缓急，急事优先的原则按序安排支出事项。</w:t>
      </w:r>
    </w:p>
    <w:p w14:paraId="6039826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三、项目组织实施情况分析</w:t>
      </w:r>
    </w:p>
    <w:p w14:paraId="76C74227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（一）项目组织情况分析</w:t>
      </w:r>
    </w:p>
    <w:p w14:paraId="0D76647C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eastAsia="仿宋_GB2312"/>
          <w:kern w:val="0"/>
          <w:szCs w:val="32"/>
          <w:lang w:val="en-US" w:eastAsia="zh-CN"/>
        </w:rPr>
      </w:pPr>
      <w:r>
        <w:rPr>
          <w:rFonts w:hint="eastAsia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我局项目为大多常年支出项目，其中非税体制结算根据上年度非税完成情况下拨预算指标，主要用于弥补单位经费不足。城管协管经费、专项整治经费为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每年固定支出。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市政、绿化维护费用、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三级联动办整治违法建设工作经费、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市容市貌专项整治建设经费等为划拨经费，划拨给各二级机构完成各项目。鲇鱼港电排提质改造、口袋公园提质项目、公厕提质改造为一般债券安排的支出，支付或划拨用于指定项目建设。</w:t>
      </w:r>
    </w:p>
    <w:p w14:paraId="0274E08D">
      <w:pPr>
        <w:widowControl/>
        <w:numPr>
          <w:ilvl w:val="0"/>
          <w:numId w:val="0"/>
        </w:numPr>
        <w:spacing w:line="594" w:lineRule="exact"/>
        <w:ind w:left="646" w:leftChars="0"/>
        <w:rPr>
          <w:kern w:val="0"/>
          <w:szCs w:val="32"/>
        </w:rPr>
      </w:pPr>
      <w:r>
        <w:rPr>
          <w:rFonts w:hint="eastAsia"/>
          <w:kern w:val="0"/>
          <w:szCs w:val="32"/>
          <w:lang w:eastAsia="zh-CN"/>
        </w:rPr>
        <w:t>（二）</w:t>
      </w:r>
      <w:r>
        <w:rPr>
          <w:kern w:val="0"/>
          <w:szCs w:val="32"/>
        </w:rPr>
        <w:t>项目管理情况分析</w:t>
      </w:r>
    </w:p>
    <w:p w14:paraId="0BEEF89F"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为加强项目（专项）资金管理，我局制定了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《专项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资金管理办法》，对</w:t>
      </w:r>
      <w:r>
        <w:rPr>
          <w:rFonts w:hint="eastAsia" w:ascii="仿宋" w:hAnsi="仿宋" w:eastAsia="仿宋"/>
          <w:color w:val="000000"/>
          <w:sz w:val="32"/>
          <w:szCs w:val="32"/>
        </w:rPr>
        <w:t>县财政局下达的单位部门预算、城维费预算中的具有指定项目和用途的资金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加强管理</w:t>
      </w:r>
      <w:r>
        <w:rPr>
          <w:rFonts w:hint="eastAsia" w:ascii="仿宋" w:hAnsi="仿宋" w:eastAsia="仿宋"/>
          <w:color w:val="000000"/>
          <w:sz w:val="32"/>
          <w:szCs w:val="32"/>
        </w:rPr>
        <w:t>，项目从立项、执行、完工到运营的全过程接受县城市管理行政执法局及财政、审计等部门的管理和监督。</w:t>
      </w:r>
    </w:p>
    <w:p w14:paraId="29785BEA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 w14:paraId="0CCEBABD">
      <w:pPr>
        <w:widowControl/>
        <w:spacing w:line="594" w:lineRule="exact"/>
        <w:ind w:firstLine="643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b/>
          <w:bCs/>
          <w:kern w:val="0"/>
          <w:szCs w:val="32"/>
          <w:lang w:eastAsia="zh-CN"/>
        </w:rPr>
        <w:t>（一）经济性分析</w:t>
      </w:r>
    </w:p>
    <w:p w14:paraId="7E25AC75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工资福利支出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1302.53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商品服务支出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114.87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万元、对个人和家庭的补助支出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10.35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人员并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没有大的变动，支出与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2023年小幅增加，2024年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三公经费决算数为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9万元，其中公务用车运行维护8.38万元，用于部分执法执勤车的运行维护。公务接待费0.62万元，我局严格落实中央八项规定，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公务接待支出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按《桃江县党政机关国内公务接待管理实施细则（桃办公发[2020]3号）文件相关规定严格执行。</w:t>
      </w:r>
    </w:p>
    <w:p w14:paraId="0A8B9092">
      <w:pPr>
        <w:widowControl/>
        <w:numPr>
          <w:ilvl w:val="0"/>
          <w:numId w:val="0"/>
        </w:numPr>
        <w:spacing w:line="594" w:lineRule="exact"/>
        <w:ind w:firstLine="643" w:firstLineChars="20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  <w:t>（二）效率性分析</w:t>
      </w:r>
    </w:p>
    <w:p w14:paraId="03765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重点工作方面</w:t>
      </w:r>
    </w:p>
    <w:p w14:paraId="4E435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1.市容秩序管理更加规范。一是秩序整治方面。严格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《桃江县人民政府202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年工作要点》相关要求，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并结合创建工作任务，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牵头起草了《2024年桃江县市容市貌专项整治行动实施方案》，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于4月18日以县城建委名义正式向全县相关部门和单位下发。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采用疏导结合模式，在县城区设置11个临时摊贩疏导点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共劝导、查处流动商贩占道经营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12200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余起，规范越门经营门店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10500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余家，拆除违规设置的帐篷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380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余个、横幅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余条、门店外地贴和气球拱门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余处，处理热线投诉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326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起;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拆除存在安全隐患的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拆除违规设置的和废旧广告招牌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余块,拆除新龙超市、慧心书城等墙体立面广告招牌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余块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2000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多平方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对城区装修门店未申报未设置围挡责令停止作业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余起，规范公共场所乱晒乱挂现象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180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余起，清理牛皮癣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4000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余处，查处乱张乱贴案件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起。查处违规停车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4302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起，劝离违停车辆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8000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余台次，教育劝导车主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5000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余人次，拖扣“僵尸车”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余台次，处理违规占用公共停车位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130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二是违建整治方面。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严格按照《益阳市整治违法建设三年专项行动实施方案》的要求，依法分类处置存量违建，坚决遏制新增违建。今年来，共开展大型拆违行动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次、中小型拆违行动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次、拆除各类违法建设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处、拆除面积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7114.5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平方米，其中拆除新发违建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处、拆除面积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935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平方米、拆除存量违建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处、拆除面积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6179.5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平方米。对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处违规建设的私房项目开展处罚，罚款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23728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蓝天保卫战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依据中央环保督查关于建筑垃圾管理方面的要求，以城建委名义印发了《桃江县城规划区城市建筑垃圾管理办法》，制定了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《城市建筑垃圾处置审批程序》，今年来，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截至目前共检查从事渣土运输的车辆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450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余台次，查处未按要求采取密闭措施、车身不洁导致路面污染车辆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余辆，立案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起，下发责令整改通知书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余份，立案查处擅自倾倒建筑垃圾行为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起，累计督促清洗污染路面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次；开展秸秆焚烧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宣传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80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次，劝导群众焚烧秸秆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120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对未按规定安装、使用油烟净化设施的经营户下达整改通知书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份；处理油烟污染投诉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起、红网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起、县长信箱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起；排查餐饮行业使用液化气橡胶软管的门店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家，流动三轮车摊点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</w:t>
      </w:r>
    </w:p>
    <w:p w14:paraId="57507072">
      <w:pPr>
        <w:keepNext w:val="0"/>
        <w:keepLines w:val="0"/>
        <w:pageBreakBefore w:val="0"/>
        <w:widowControl w:val="0"/>
        <w:tabs>
          <w:tab w:val="left" w:pos="74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城区美化亮化全面升级。一是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做好市政设施维护。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维修人行道6800平方米，完成开裂路面罐缝55000余米，冷补破损沥青路面维修1000余处，约900平方米；完成路沿石维修1000余米，清理人行道障碍物120余吨，清理行道树废弃电线及私拉乱扯杂物500余处；疏通下水道8500米，改造下水道50米， 清淤800吨；更换井盖285套、雨箅231套；安装窨井盖防坠网650套 ；维修破损设施50余处。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二是做好县城绿化养护。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完成了县城绿化带日常维护约600万平方米；更换鲜花约10万盆。完成獭溪河沿江风光带东侧广场主题小品、金盆广场主题小品花园制作及亮化工作，填卵石、黄土约90平方米，并栽植鲜花约1万盆；清除绿化带的落叶、枯叶、渣石</w:t>
      </w:r>
      <w:r>
        <w:rPr>
          <w:rFonts w:hint="eastAsia" w:ascii="仿宋_GB2312" w:hAnsi="仿宋" w:eastAsia="仿宋_GB2312" w:cs="仿宋"/>
          <w:b w:val="0"/>
          <w:sz w:val="32"/>
          <w:lang w:val="en-US" w:eastAsia="zh-CN"/>
        </w:rPr>
        <w:t>约40余万平方米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，140余车；行道树整枝约2000余株。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做好路灯设施维护。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路灯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更换或维修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路灯800余盏，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敷设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更换电缆线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15720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米；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修复30米高杆灯2盏、一桥高杆灯1盏；对城区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高杆灯进行亮化，共计安装15072个点光源；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配合市政建设拆除路灯杆5个；拆除牛潭河大桥损坏严重且存在安全隐患的中国节225个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 w14:paraId="1188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3.环卫保洁品质大幅提升。一是清扫保洁市场化。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完成第四轮清扫保洁市场化采购，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并于6月开始实施。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二是扎实开展清扫保洁。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将环卫清扫保洁提升到生态环境治理的高度，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发放爱卫倡议书1000余份，现场劝导整改各类破坏市容环境卫生行为420余起；以“机扫、冲洗、普扫、快速保洁”模式对城区主次干道、环卫容器等设施进行精细化清洗，清理卫生死角15000余处，各类大件垃圾1120余起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清洗油污1600余处，清理铂樾府、桃花江大道、谷山路、花苞洲大桥等路段的陈年建筑装修垃圾160余车，约800吨。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垃圾分类减量。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起，处罚1200元，下达限期整改通知30余份。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今年六月份，高标准完成了市人大对我县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《条例》实施以来，垃圾分类工作开展情况的检查督查，获市人大和县委县政府的好评。</w:t>
      </w:r>
    </w:p>
    <w:p w14:paraId="06C82F6A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 w14:paraId="70CCBBA7"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（一）绩效评价的目的</w:t>
      </w:r>
    </w:p>
    <w:p w14:paraId="1A35FBA4">
      <w:pPr>
        <w:ind w:firstLine="645"/>
        <w:rPr>
          <w:rFonts w:hint="eastAsia"/>
          <w:szCs w:val="32"/>
          <w:lang w:eastAsia="zh-CN"/>
        </w:rPr>
      </w:pPr>
      <w:bookmarkStart w:id="0" w:name="_GoBack"/>
      <w:bookmarkEnd w:id="0"/>
      <w:r>
        <w:rPr>
          <w:szCs w:val="32"/>
        </w:rPr>
        <w:t>强化财政支出绩效理念和部门责任意识，规范财政资金管理，提高财政资金使用效益，依据中央、省、市、县相关文件精神和工作要求</w:t>
      </w:r>
      <w:r>
        <w:rPr>
          <w:rFonts w:hint="eastAsia"/>
          <w:szCs w:val="32"/>
          <w:lang w:eastAsia="zh-CN"/>
        </w:rPr>
        <w:t>对年度财政资金使用情况及产生的效益进行评价。</w:t>
      </w:r>
    </w:p>
    <w:p w14:paraId="3080DD2B">
      <w:pPr>
        <w:numPr>
          <w:ilvl w:val="0"/>
          <w:numId w:val="3"/>
        </w:numPr>
        <w:ind w:firstLine="645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绩效评价的过程</w:t>
      </w:r>
    </w:p>
    <w:p w14:paraId="307C020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1、成立绩效评价领导小组。组长：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吴建强</w:t>
      </w:r>
      <w:r>
        <w:rPr>
          <w:rFonts w:hint="eastAsia" w:ascii="仿宋" w:hAnsi="仿宋" w:eastAsia="仿宋"/>
          <w:sz w:val="32"/>
          <w:szCs w:val="32"/>
        </w:rPr>
        <w:t xml:space="preserve"> 副组长：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李志伟、周科明、刘意；</w:t>
      </w:r>
      <w:r>
        <w:rPr>
          <w:rFonts w:hint="eastAsia" w:ascii="仿宋" w:hAnsi="仿宋" w:eastAsia="仿宋"/>
          <w:sz w:val="32"/>
          <w:szCs w:val="32"/>
        </w:rPr>
        <w:t xml:space="preserve"> 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杨君、王小千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曹智慧、贺庆、吴红军</w:t>
      </w:r>
      <w:r>
        <w:rPr>
          <w:rFonts w:hint="eastAsia" w:ascii="仿宋" w:hAnsi="仿宋" w:eastAsia="仿宋"/>
          <w:sz w:val="32"/>
          <w:szCs w:val="32"/>
        </w:rPr>
        <w:t>、苏照华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各二级机构办公室人员。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本职工作每月考核；七项基础工作、县委县政府的重点工作和其他工作按相应考核细则进行考核，由平常抽查考核和局绩效考核领导小组年终考核相结合。</w:t>
      </w:r>
    </w:p>
    <w:p w14:paraId="2ACA9E20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2、资料收集整理。自评工作资料整理由局财务室牵头，各业务股室、二级机构、直属大队办全面配合，收集相关资料，按绩效评价指标及评分表相关内容一一对照整理成册。</w:t>
      </w:r>
    </w:p>
    <w:p w14:paraId="2B1E985A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3、自查自评。按照《预算绩效管理政策与业务操作手册》的文件要求，对照20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年度部门整体支出绩效评价指标及评分表的内容如实填报相关资料，作出公正、客观、真实的自评。自评分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sz w:val="32"/>
          <w:szCs w:val="32"/>
        </w:rPr>
        <w:t>分。</w:t>
      </w:r>
    </w:p>
    <w:p w14:paraId="01D700BC">
      <w:pPr>
        <w:numPr>
          <w:ilvl w:val="0"/>
          <w:numId w:val="0"/>
        </w:numPr>
        <w:spacing w:line="620" w:lineRule="exact"/>
        <w:ind w:firstLine="640" w:firstLineChars="200"/>
        <w:jc w:val="both"/>
        <w:outlineLvl w:val="0"/>
        <w:rPr>
          <w:rFonts w:hint="eastAsia" w:ascii="仿宋" w:eastAsia="仿宋" w:cs="仿宋"/>
          <w:b/>
          <w:bCs/>
          <w:color w:val="000000"/>
          <w:spacing w:val="-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4、上报审核。局财务室工作人员按时上报相关自评资料，对上报资料跟进，及时反馈县财政局提出的审查意见，根据审查结果认真分析工作中存在的不足，进行整改，并对来年财政部门预算编制计划提出建议和意见。</w:t>
      </w:r>
    </w:p>
    <w:p w14:paraId="2C702DE0"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六、存在的主要问题</w:t>
      </w:r>
    </w:p>
    <w:p w14:paraId="744FD6D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财务工作繁琐，绩效评价业务不熟练导致绩效评价水平不高。</w:t>
      </w:r>
    </w:p>
    <w:p w14:paraId="38297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F1159"/>
    <w:multiLevelType w:val="singleLevel"/>
    <w:tmpl w:val="228F1159"/>
    <w:lvl w:ilvl="0" w:tentative="0">
      <w:start w:val="3"/>
      <w:numFmt w:val="chineseCounting"/>
      <w:suff w:val="nothing"/>
      <w:lvlText w:val="（%1）"/>
      <w:lvlJc w:val="left"/>
      <w:pPr>
        <w:ind w:left="6"/>
      </w:pPr>
      <w:rPr>
        <w:rFonts w:hint="eastAsia"/>
      </w:rPr>
    </w:lvl>
  </w:abstractNum>
  <w:abstractNum w:abstractNumId="1">
    <w:nsid w:val="365CAB77"/>
    <w:multiLevelType w:val="singleLevel"/>
    <w:tmpl w:val="365CAB7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65D4C3"/>
    <w:multiLevelType w:val="singleLevel"/>
    <w:tmpl w:val="5E65D4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2JmZTY4MTIyNWFjNmRlNWNjZjRjZjJmMGQzYzQifQ=="/>
  </w:docVars>
  <w:rsids>
    <w:rsidRoot w:val="03DF611C"/>
    <w:rsid w:val="01585E9B"/>
    <w:rsid w:val="01D60DCA"/>
    <w:rsid w:val="03DF611C"/>
    <w:rsid w:val="04E4300C"/>
    <w:rsid w:val="088209B9"/>
    <w:rsid w:val="08BE1177"/>
    <w:rsid w:val="09E95841"/>
    <w:rsid w:val="0A6C6378"/>
    <w:rsid w:val="0B846CE0"/>
    <w:rsid w:val="0BDE17BD"/>
    <w:rsid w:val="0CAC26BE"/>
    <w:rsid w:val="0CF967A2"/>
    <w:rsid w:val="0E2C0351"/>
    <w:rsid w:val="0EE91A98"/>
    <w:rsid w:val="0EFC3075"/>
    <w:rsid w:val="0F924021"/>
    <w:rsid w:val="1137024E"/>
    <w:rsid w:val="14484D57"/>
    <w:rsid w:val="170D21CF"/>
    <w:rsid w:val="1B595A23"/>
    <w:rsid w:val="2137579E"/>
    <w:rsid w:val="231B29D1"/>
    <w:rsid w:val="25E44CFA"/>
    <w:rsid w:val="2672148A"/>
    <w:rsid w:val="28792813"/>
    <w:rsid w:val="2A2A12F0"/>
    <w:rsid w:val="2D035999"/>
    <w:rsid w:val="2F9451F3"/>
    <w:rsid w:val="336366A5"/>
    <w:rsid w:val="33FF6A5A"/>
    <w:rsid w:val="3F4D1CD6"/>
    <w:rsid w:val="4014567C"/>
    <w:rsid w:val="44FA350F"/>
    <w:rsid w:val="46823A7F"/>
    <w:rsid w:val="4B533C0F"/>
    <w:rsid w:val="4B583B48"/>
    <w:rsid w:val="4B981ACB"/>
    <w:rsid w:val="596974D9"/>
    <w:rsid w:val="5ABA70D5"/>
    <w:rsid w:val="5AF043F4"/>
    <w:rsid w:val="5B1433B1"/>
    <w:rsid w:val="5C9F576B"/>
    <w:rsid w:val="62C47E48"/>
    <w:rsid w:val="631534E4"/>
    <w:rsid w:val="6382412B"/>
    <w:rsid w:val="65E4627B"/>
    <w:rsid w:val="66EE66D3"/>
    <w:rsid w:val="67435B9E"/>
    <w:rsid w:val="68E43B36"/>
    <w:rsid w:val="697A1F45"/>
    <w:rsid w:val="6F71163D"/>
    <w:rsid w:val="70A352A1"/>
    <w:rsid w:val="74514CBB"/>
    <w:rsid w:val="74B75480"/>
    <w:rsid w:val="7AF950D2"/>
    <w:rsid w:val="7C4F7621"/>
    <w:rsid w:val="7CC405DE"/>
    <w:rsid w:val="7D66388B"/>
    <w:rsid w:val="7E866818"/>
    <w:rsid w:val="7F241B95"/>
    <w:rsid w:val="D75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4614</Words>
  <Characters>4974</Characters>
  <Lines>0</Lines>
  <Paragraphs>0</Paragraphs>
  <TotalTime>7</TotalTime>
  <ScaleCrop>false</ScaleCrop>
  <LinksUpToDate>false</LinksUpToDate>
  <CharactersWithSpaces>4991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2021-04-14T10:29:00Z</dcterms:created>
  <dc:creator>春天在哪里</dc:creator>
  <cp:lastModifiedBy>kylin</cp:lastModifiedBy>
  <cp:lastPrinted>2022-05-31T15:57:00Z</cp:lastPrinted>
  <dcterms:modified xsi:type="dcterms:W3CDTF">2025-11-21T09:54:26Z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BB646687FEAC4F409E8AA07A0FC385CA</vt:lpwstr>
  </property>
</Properties>
</file>