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asciiTheme="majorEastAsia" w:hAnsiTheme="majorEastAsia" w:eastAsiaTheme="majorEastAsia"/>
          <w:color w:val="auto"/>
          <w:sz w:val="44"/>
          <w:szCs w:val="44"/>
        </w:rPr>
      </w:pPr>
    </w:p>
    <w:p>
      <w:pPr>
        <w:spacing w:line="520" w:lineRule="exact"/>
        <w:jc w:val="center"/>
        <w:rPr>
          <w:rFonts w:asciiTheme="majorEastAsia" w:hAnsiTheme="majorEastAsia" w:eastAsiaTheme="majorEastAsia"/>
          <w:color w:val="auto"/>
          <w:sz w:val="44"/>
          <w:szCs w:val="44"/>
        </w:rPr>
      </w:pPr>
      <w:r>
        <w:rPr>
          <w:rFonts w:hint="eastAsia" w:asciiTheme="majorEastAsia" w:hAnsiTheme="majorEastAsia" w:eastAsiaTheme="majorEastAsia"/>
          <w:color w:val="auto"/>
          <w:sz w:val="44"/>
          <w:szCs w:val="44"/>
        </w:rPr>
        <w:t>桃江县人民政府</w:t>
      </w:r>
    </w:p>
    <w:p>
      <w:pPr>
        <w:spacing w:line="520" w:lineRule="exact"/>
        <w:jc w:val="center"/>
        <w:rPr>
          <w:rFonts w:asciiTheme="majorEastAsia" w:hAnsiTheme="majorEastAsia" w:eastAsiaTheme="majorEastAsia"/>
          <w:color w:val="auto"/>
          <w:sz w:val="44"/>
          <w:szCs w:val="44"/>
        </w:rPr>
      </w:pPr>
      <w:r>
        <w:rPr>
          <w:rFonts w:hint="eastAsia" w:asciiTheme="majorEastAsia" w:hAnsiTheme="majorEastAsia" w:eastAsiaTheme="majorEastAsia"/>
          <w:color w:val="auto"/>
          <w:sz w:val="44"/>
          <w:szCs w:val="44"/>
        </w:rPr>
        <w:t>关于在县城及周边规定范围内禁止燃放烟花爆竹的通告</w:t>
      </w:r>
    </w:p>
    <w:p>
      <w:pPr>
        <w:spacing w:line="520" w:lineRule="exact"/>
        <w:jc w:val="center"/>
        <w:rPr>
          <w:rFonts w:asciiTheme="majorEastAsia" w:hAnsiTheme="majorEastAsia" w:eastAsiaTheme="majorEastAsia"/>
          <w:color w:val="auto"/>
          <w:sz w:val="44"/>
          <w:szCs w:val="44"/>
        </w:rPr>
      </w:pPr>
      <w:r>
        <w:rPr>
          <w:rFonts w:hint="eastAsia" w:asciiTheme="majorEastAsia" w:hAnsiTheme="majorEastAsia" w:eastAsiaTheme="majorEastAsia"/>
          <w:color w:val="auto"/>
          <w:sz w:val="44"/>
          <w:szCs w:val="44"/>
        </w:rPr>
        <w:t>（</w:t>
      </w:r>
      <w:r>
        <w:rPr>
          <w:rFonts w:hint="eastAsia" w:asciiTheme="majorEastAsia" w:hAnsiTheme="majorEastAsia" w:eastAsiaTheme="majorEastAsia"/>
          <w:color w:val="auto"/>
          <w:sz w:val="44"/>
          <w:szCs w:val="44"/>
          <w:lang w:val="en-US" w:eastAsia="zh-CN"/>
        </w:rPr>
        <w:t>送审</w:t>
      </w:r>
      <w:r>
        <w:rPr>
          <w:rFonts w:hint="eastAsia" w:asciiTheme="majorEastAsia" w:hAnsiTheme="majorEastAsia" w:eastAsiaTheme="majorEastAsia"/>
          <w:color w:val="auto"/>
          <w:sz w:val="44"/>
          <w:szCs w:val="44"/>
        </w:rPr>
        <w:t>稿）</w:t>
      </w:r>
    </w:p>
    <w:p>
      <w:pPr>
        <w:spacing w:line="520" w:lineRule="exact"/>
        <w:ind w:firstLine="640" w:firstLineChars="200"/>
        <w:rPr>
          <w:rFonts w:ascii="仿宋_GB2312" w:eastAsia="仿宋_GB2312"/>
          <w:color w:val="auto"/>
          <w:sz w:val="32"/>
          <w:szCs w:val="32"/>
        </w:rPr>
      </w:pPr>
    </w:p>
    <w:p>
      <w:pPr>
        <w:spacing w:line="52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为保障公共安全和人民群众生命财产安全，改善城市环境空气质量，降低环境噪声污染，根据《中华人民共和国环境保护法》《中华人民共和国大气污染防治法》《中华人民共和国噪声污染防治法》和《烟花爆竹安全管理条例》（国务院令第455号）等有关法律法规规定，结合我县实际，县人民政府决定在县城及周边规定范围内全时段禁止燃放烟花爆竹。现通告如下：</w:t>
      </w:r>
    </w:p>
    <w:p>
      <w:pPr>
        <w:spacing w:line="520" w:lineRule="exact"/>
        <w:ind w:firstLine="640"/>
        <w:rPr>
          <w:rFonts w:ascii="仿宋_GB2312" w:eastAsia="仿宋_GB2312"/>
          <w:color w:val="auto"/>
          <w:sz w:val="32"/>
          <w:szCs w:val="32"/>
        </w:rPr>
      </w:pPr>
      <w:r>
        <w:rPr>
          <w:rFonts w:hint="eastAsia" w:ascii="仿宋_GB2312" w:eastAsia="仿宋_GB2312"/>
          <w:color w:val="auto"/>
          <w:sz w:val="32"/>
          <w:szCs w:val="32"/>
        </w:rPr>
        <w:t>一、本通告所称烟花爆竹，以烟火药为主要原料制成引燃后通过燃烧或爆炸，产生光、声、色、型、烟雾等效果，具有易燃易爆危险的物品。</w:t>
      </w:r>
    </w:p>
    <w:p>
      <w:pPr>
        <w:spacing w:line="52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二、禁止在下列区域内燃放烟花爆竹</w:t>
      </w:r>
    </w:p>
    <w:p>
      <w:pPr>
        <w:spacing w:line="52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1、桃花江镇、浮邱山乡、石牛江镇、牛田镇、高桥镇、修山镇6个乡镇全域</w:t>
      </w:r>
    </w:p>
    <w:p>
      <w:pPr>
        <w:spacing w:line="52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2、灰山港、沾溪等2个乡镇镇区以下合围区域</w:t>
      </w:r>
    </w:p>
    <w:p>
      <w:pPr>
        <w:spacing w:line="52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灰山港镇：灰山港村村委——站前路——灰山港镇火车客运站——洛湛铁路——志溪南路——老灰钢铁路——天子坡村委——慕泉山庄——G234（西环线）——灰山港村村委。</w:t>
      </w:r>
    </w:p>
    <w:p>
      <w:pPr>
        <w:spacing w:line="52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沾溪镇：沾溪镇人民政府广场前桃荷公路以西——沾溪村委——沾溪镇老政府以西20米——沾溪一桥——沾溪农商银行——沾溪老派出所（创业路以东）</w:t>
      </w:r>
    </w:p>
    <w:p>
      <w:pPr>
        <w:spacing w:line="52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三、除第二条规定外，全县范围内下列地点禁止燃放烟花爆竹</w:t>
      </w:r>
    </w:p>
    <w:p>
      <w:pPr>
        <w:spacing w:line="52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（一）党政机关、幼儿园、学校、医疗机构、养老机构、文物保护等单位；</w:t>
      </w:r>
    </w:p>
    <w:p>
      <w:pPr>
        <w:spacing w:line="52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（二）车站、码头等交通枢纽以及铁路线路安全保护区内；</w:t>
      </w:r>
    </w:p>
    <w:p>
      <w:pPr>
        <w:spacing w:line="52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（三）危险化学品等易燃易爆物品的生产、储存和经营场所，输气（油）管线、输（变）电及架空电力、通信线路等设施安全保护区；</w:t>
      </w:r>
    </w:p>
    <w:p>
      <w:pPr>
        <w:spacing w:line="52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（四）风景名胜区、公园、山林等重点防火区；</w:t>
      </w:r>
    </w:p>
    <w:p>
      <w:pPr>
        <w:spacing w:line="52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（五）商场、集贸市场和公共文化场所等人员密集的公共活动场所；</w:t>
      </w:r>
    </w:p>
    <w:p>
      <w:pPr>
        <w:spacing w:line="52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（六）殡仪馆和公墓陵园；</w:t>
      </w:r>
    </w:p>
    <w:p>
      <w:pPr>
        <w:spacing w:line="52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（七）法律法规规定的禁止燃放烟花爆竹的其他地点。</w:t>
      </w:r>
    </w:p>
    <w:p>
      <w:pPr>
        <w:spacing w:line="52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四、本通告规定禁放地点以外的其他区域，倡导村、社区等基层组织通过制定或修订村规民约、居民公约等形式依规有序烟花爆竹燃放。</w:t>
      </w:r>
    </w:p>
    <w:p>
      <w:pPr>
        <w:spacing w:line="52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五、在禁止燃放区域内，严禁新增烟花爆竹零售门店，已有零售门店应按照省市相关要求逐步退出。</w:t>
      </w:r>
    </w:p>
    <w:p>
      <w:pPr>
        <w:spacing w:line="52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六、在禁止燃放区域内，因重大庆典活动确需举办焰火晚会及其他大型焰火燃放活动的，须依法经公</w:t>
      </w:r>
      <w:r>
        <w:rPr>
          <w:rFonts w:ascii="仿宋_GB2312" w:eastAsia="仿宋_GB2312"/>
          <w:color w:val="auto"/>
          <w:sz w:val="32"/>
          <w:szCs w:val="32"/>
        </w:rPr>
        <w:t>安</w:t>
      </w:r>
      <w:r>
        <w:rPr>
          <w:rFonts w:hint="eastAsia" w:ascii="仿宋_GB2312" w:eastAsia="仿宋_GB2312"/>
          <w:color w:val="auto"/>
          <w:sz w:val="32"/>
          <w:szCs w:val="32"/>
        </w:rPr>
        <w:t>部门许可并核发焰火燃放许可证，在指定的时间、地点按照安全规程实施燃放。</w:t>
      </w:r>
    </w:p>
    <w:p>
      <w:pPr>
        <w:spacing w:line="52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七、依照《烟花爆竹安全管理条例》第四十二条的规定，对违反本通告规定，在禁止燃放区域、地点燃放烟花爆竹的，由公</w:t>
      </w:r>
      <w:r>
        <w:rPr>
          <w:rFonts w:ascii="仿宋_GB2312" w:eastAsia="仿宋_GB2312"/>
          <w:color w:val="auto"/>
          <w:sz w:val="32"/>
          <w:szCs w:val="32"/>
        </w:rPr>
        <w:t>安</w:t>
      </w:r>
      <w:r>
        <w:rPr>
          <w:rFonts w:hint="eastAsia" w:ascii="仿宋_GB2312" w:eastAsia="仿宋_GB2312"/>
          <w:color w:val="auto"/>
          <w:sz w:val="32"/>
          <w:szCs w:val="32"/>
        </w:rPr>
        <w:t>部门责令停止燃放，处100元以上500元以下的罚款；构成违反治安管理行为的，依法给予治安管理处罚。对未经许可举办焰火晚会以及其他大型焰火燃放活动的，由公</w:t>
      </w:r>
      <w:r>
        <w:rPr>
          <w:rFonts w:ascii="仿宋_GB2312" w:eastAsia="仿宋_GB2312"/>
          <w:color w:val="auto"/>
          <w:sz w:val="32"/>
          <w:szCs w:val="32"/>
        </w:rPr>
        <w:t>安</w:t>
      </w:r>
      <w:r>
        <w:rPr>
          <w:rFonts w:hint="eastAsia" w:ascii="仿宋_GB2312" w:eastAsia="仿宋_GB2312"/>
          <w:color w:val="auto"/>
          <w:sz w:val="32"/>
          <w:szCs w:val="32"/>
        </w:rPr>
        <w:t>部门责令停止燃放，对责任单位处1万元以上5万元以下的罚款。</w:t>
      </w:r>
    </w:p>
    <w:p>
      <w:pPr>
        <w:spacing w:line="52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依照《烟花爆竹安全管理条例》第三十六条的规定，未经许可生产、经营烟花爆竹制品的，由应急管理</w:t>
      </w:r>
      <w:r>
        <w:rPr>
          <w:rFonts w:ascii="仿宋_GB2312" w:eastAsia="仿宋_GB2312"/>
          <w:color w:val="auto"/>
          <w:sz w:val="32"/>
          <w:szCs w:val="32"/>
        </w:rPr>
        <w:t>部门</w:t>
      </w:r>
      <w:r>
        <w:rPr>
          <w:rFonts w:hint="eastAsia" w:ascii="仿宋_GB2312" w:eastAsia="仿宋_GB2312"/>
          <w:color w:val="auto"/>
          <w:sz w:val="32"/>
          <w:szCs w:val="32"/>
        </w:rPr>
        <w:t>责令停止非法生产、经营活动，处2万元以上10万元以下的罚款，并没收非法生产、经营的物品及违法所得。对未经许可经由道路运输烟花爆竹的，由公</w:t>
      </w:r>
      <w:r>
        <w:rPr>
          <w:rFonts w:ascii="仿宋_GB2312" w:eastAsia="仿宋_GB2312"/>
          <w:color w:val="auto"/>
          <w:sz w:val="32"/>
          <w:szCs w:val="32"/>
        </w:rPr>
        <w:t>安</w:t>
      </w:r>
      <w:r>
        <w:rPr>
          <w:rFonts w:hint="eastAsia" w:ascii="仿宋_GB2312" w:eastAsia="仿宋_GB2312"/>
          <w:color w:val="auto"/>
          <w:sz w:val="32"/>
          <w:szCs w:val="32"/>
        </w:rPr>
        <w:t>部门责令停止非法运输活动，处1万元以上5万元以下的罚款，并没收非法运输的物品及违法所得。非法生产、经营、运输烟花爆竹，构成违反治安管理行为的，依法给予治安管理处罚；构成犯罪的，依法追究刑事责任。</w:t>
      </w:r>
    </w:p>
    <w:p>
      <w:pPr>
        <w:spacing w:line="52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八、涉禁止燃放区域的乡镇人民政府应全面履行属地主体责任，统筹推进辖区内烟花爆竹禁燃禁</w:t>
      </w:r>
      <w:r>
        <w:rPr>
          <w:rFonts w:ascii="仿宋_GB2312" w:eastAsia="仿宋_GB2312"/>
          <w:color w:val="auto"/>
          <w:sz w:val="32"/>
          <w:szCs w:val="32"/>
        </w:rPr>
        <w:t>放</w:t>
      </w:r>
      <w:r>
        <w:rPr>
          <w:rFonts w:hint="eastAsia" w:ascii="仿宋_GB2312" w:eastAsia="仿宋_GB2312"/>
          <w:color w:val="auto"/>
          <w:sz w:val="32"/>
          <w:szCs w:val="32"/>
        </w:rPr>
        <w:t>工作。</w:t>
      </w:r>
    </w:p>
    <w:p>
      <w:pPr>
        <w:spacing w:line="52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公安、城管</w:t>
      </w:r>
      <w:r>
        <w:rPr>
          <w:rFonts w:ascii="仿宋_GB2312" w:eastAsia="仿宋_GB2312"/>
          <w:color w:val="auto"/>
          <w:sz w:val="32"/>
          <w:szCs w:val="32"/>
        </w:rPr>
        <w:t>执法</w:t>
      </w:r>
      <w:r>
        <w:rPr>
          <w:rFonts w:hint="eastAsia" w:ascii="仿宋_GB2312" w:eastAsia="仿宋_GB2312"/>
          <w:color w:val="auto"/>
          <w:sz w:val="32"/>
          <w:szCs w:val="32"/>
        </w:rPr>
        <w:t>、应急管理、市场监督、交通运输、生态环境等部门按照各自职责做好禁止燃放烟花爆竹的宣传和监管工作，依法查处违法违规生产、销售、储存、运输和燃放烟花爆竹的行为。</w:t>
      </w:r>
    </w:p>
    <w:p>
      <w:pPr>
        <w:spacing w:line="520" w:lineRule="exact"/>
        <w:ind w:firstLine="640" w:firstLineChars="200"/>
        <w:rPr>
          <w:rFonts w:hint="eastAsia" w:ascii="仿宋_GB2312" w:eastAsia="仿宋_GB2312"/>
          <w:color w:val="auto"/>
          <w:sz w:val="32"/>
          <w:szCs w:val="32"/>
          <w:lang w:val="en-US" w:eastAsia="zh-CN"/>
        </w:rPr>
      </w:pPr>
      <w:r>
        <w:rPr>
          <w:rFonts w:hint="eastAsia" w:ascii="仿宋_GB2312" w:eastAsia="仿宋_GB2312"/>
          <w:color w:val="auto"/>
          <w:sz w:val="32"/>
          <w:szCs w:val="32"/>
        </w:rPr>
        <w:t>社区居委会、村民委员会、居民住宅小区物业管理单位应广泛宣传各项禁燃禁</w:t>
      </w:r>
      <w:r>
        <w:rPr>
          <w:rFonts w:ascii="仿宋_GB2312" w:eastAsia="仿宋_GB2312"/>
          <w:color w:val="auto"/>
          <w:sz w:val="32"/>
          <w:szCs w:val="32"/>
        </w:rPr>
        <w:t>放</w:t>
      </w:r>
      <w:r>
        <w:rPr>
          <w:rFonts w:hint="eastAsia" w:ascii="仿宋_GB2312" w:eastAsia="仿宋_GB2312"/>
          <w:color w:val="auto"/>
          <w:sz w:val="32"/>
          <w:szCs w:val="32"/>
        </w:rPr>
        <w:t>规定，切实履行管辖范围内的烟花爆竹禁燃禁</w:t>
      </w:r>
      <w:r>
        <w:rPr>
          <w:rFonts w:ascii="仿宋_GB2312" w:eastAsia="仿宋_GB2312"/>
          <w:color w:val="auto"/>
          <w:sz w:val="32"/>
          <w:szCs w:val="32"/>
        </w:rPr>
        <w:t>放</w:t>
      </w:r>
      <w:r>
        <w:rPr>
          <w:rFonts w:hint="eastAsia" w:ascii="仿宋_GB2312" w:eastAsia="仿宋_GB2312"/>
          <w:color w:val="auto"/>
          <w:sz w:val="32"/>
          <w:szCs w:val="32"/>
        </w:rPr>
        <w:t>的宣传</w:t>
      </w:r>
      <w:r>
        <w:rPr>
          <w:rFonts w:ascii="仿宋_GB2312" w:eastAsia="仿宋_GB2312"/>
          <w:color w:val="auto"/>
          <w:sz w:val="32"/>
          <w:szCs w:val="32"/>
        </w:rPr>
        <w:t>动员</w:t>
      </w:r>
      <w:r>
        <w:rPr>
          <w:rFonts w:hint="eastAsia" w:ascii="仿宋_GB2312" w:eastAsia="仿宋_GB2312"/>
          <w:color w:val="auto"/>
          <w:sz w:val="32"/>
          <w:szCs w:val="32"/>
        </w:rPr>
        <w:t>、</w:t>
      </w:r>
      <w:r>
        <w:rPr>
          <w:rFonts w:ascii="仿宋_GB2312" w:eastAsia="仿宋_GB2312"/>
          <w:color w:val="auto"/>
          <w:sz w:val="32"/>
          <w:szCs w:val="32"/>
        </w:rPr>
        <w:t>现场劝阻</w:t>
      </w:r>
      <w:r>
        <w:rPr>
          <w:rFonts w:hint="eastAsia" w:ascii="仿宋_GB2312" w:eastAsia="仿宋_GB2312"/>
          <w:color w:val="auto"/>
          <w:sz w:val="32"/>
          <w:szCs w:val="32"/>
        </w:rPr>
        <w:t>、</w:t>
      </w:r>
      <w:r>
        <w:rPr>
          <w:rFonts w:ascii="仿宋_GB2312" w:eastAsia="仿宋_GB2312"/>
          <w:color w:val="auto"/>
          <w:sz w:val="32"/>
          <w:szCs w:val="32"/>
        </w:rPr>
        <w:t>及时报告和举报处置工作</w:t>
      </w:r>
      <w:r>
        <w:rPr>
          <w:rFonts w:hint="eastAsia" w:ascii="仿宋_GB2312" w:eastAsia="仿宋_GB2312"/>
          <w:color w:val="auto"/>
          <w:sz w:val="32"/>
          <w:szCs w:val="32"/>
          <w:lang w:eastAsia="zh-CN"/>
        </w:rPr>
        <w:t>。</w:t>
      </w:r>
    </w:p>
    <w:p>
      <w:pPr>
        <w:spacing w:line="520" w:lineRule="exact"/>
        <w:ind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rPr>
        <w:t>九、广大人民群众应自觉遵守本通告相关规定，并积极举报违法违规生产、销售、储存、运输和燃放烟花爆竹的行为。违法违规运输、燃放烟花爆竹行为举报热线：110</w:t>
      </w:r>
      <w:r>
        <w:rPr>
          <w:rFonts w:hint="eastAsia" w:ascii="仿宋_GB2312" w:eastAsia="仿宋_GB2312"/>
          <w:color w:val="auto"/>
          <w:sz w:val="32"/>
          <w:szCs w:val="32"/>
          <w:lang w:eastAsia="zh-CN"/>
        </w:rPr>
        <w:t>，</w:t>
      </w:r>
      <w:r>
        <w:rPr>
          <w:rFonts w:hint="eastAsia" w:ascii="仿宋_GB2312" w:eastAsia="仿宋_GB2312"/>
          <w:color w:val="auto"/>
          <w:sz w:val="32"/>
          <w:szCs w:val="32"/>
        </w:rPr>
        <w:t>违法违规</w:t>
      </w:r>
      <w:r>
        <w:rPr>
          <w:rFonts w:hint="eastAsia" w:ascii="仿宋_GB2312" w:eastAsia="仿宋_GB2312"/>
          <w:color w:val="auto"/>
          <w:sz w:val="32"/>
          <w:szCs w:val="32"/>
          <w:lang w:val="en-US" w:eastAsia="zh-CN"/>
        </w:rPr>
        <w:t>生产、销售、储存烟花爆竹行为</w:t>
      </w:r>
      <w:r>
        <w:rPr>
          <w:rFonts w:hint="eastAsia" w:ascii="仿宋_GB2312" w:eastAsia="仿宋_GB2312"/>
          <w:color w:val="auto"/>
          <w:sz w:val="32"/>
          <w:szCs w:val="32"/>
        </w:rPr>
        <w:t>举报热线：8218119</w:t>
      </w:r>
      <w:r>
        <w:rPr>
          <w:rFonts w:hint="eastAsia" w:ascii="仿宋_GB2312" w:eastAsia="仿宋_GB2312"/>
          <w:color w:val="auto"/>
          <w:sz w:val="32"/>
          <w:szCs w:val="32"/>
          <w:lang w:eastAsia="zh-CN"/>
        </w:rPr>
        <w:t>。</w:t>
      </w:r>
    </w:p>
    <w:p>
      <w:pPr>
        <w:spacing w:line="52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十、本通告自发布之日起施行。《桃江县人民政府关于在县城及周边规定范围内禁止燃放烟花爆竹的通告》（桃政通〔2024〕3号）同时废止。</w:t>
      </w:r>
    </w:p>
    <w:p>
      <w:pPr>
        <w:spacing w:line="520" w:lineRule="exact"/>
        <w:ind w:firstLine="640" w:firstLineChars="200"/>
        <w:rPr>
          <w:rFonts w:ascii="仿宋_GB2312" w:eastAsia="仿宋_GB2312"/>
          <w:color w:val="auto"/>
          <w:sz w:val="32"/>
          <w:szCs w:val="32"/>
        </w:rPr>
      </w:pPr>
    </w:p>
    <w:p>
      <w:pPr>
        <w:spacing w:line="520" w:lineRule="exact"/>
        <w:ind w:firstLine="640" w:firstLineChars="200"/>
        <w:jc w:val="left"/>
        <w:rPr>
          <w:rFonts w:ascii="仿宋_GB2312" w:eastAsia="仿宋_GB2312"/>
          <w:color w:val="auto"/>
          <w:sz w:val="32"/>
          <w:szCs w:val="32"/>
        </w:rPr>
      </w:pPr>
    </w:p>
    <w:p>
      <w:pPr>
        <w:spacing w:line="520" w:lineRule="exact"/>
        <w:ind w:firstLine="640" w:firstLineChars="200"/>
        <w:jc w:val="left"/>
        <w:rPr>
          <w:rFonts w:ascii="仿宋_GB2312" w:eastAsia="仿宋_GB2312"/>
          <w:color w:val="auto"/>
          <w:sz w:val="32"/>
          <w:szCs w:val="32"/>
        </w:rPr>
      </w:pPr>
      <w:r>
        <w:rPr>
          <w:rFonts w:hint="eastAsia" w:ascii="仿宋_GB2312" w:eastAsia="仿宋_GB2312"/>
          <w:color w:val="auto"/>
          <w:sz w:val="32"/>
          <w:szCs w:val="32"/>
        </w:rPr>
        <w:t>附件：1、灰山港镇烟花爆竹禁放区域示意图</w:t>
      </w:r>
    </w:p>
    <w:p>
      <w:pPr>
        <w:spacing w:line="520" w:lineRule="exact"/>
        <w:ind w:firstLine="1600" w:firstLineChars="500"/>
        <w:jc w:val="left"/>
        <w:rPr>
          <w:rFonts w:ascii="仿宋_GB2312" w:eastAsia="仿宋_GB2312"/>
          <w:color w:val="auto"/>
          <w:sz w:val="32"/>
          <w:szCs w:val="32"/>
        </w:rPr>
      </w:pPr>
      <w:r>
        <w:rPr>
          <w:rFonts w:hint="eastAsia" w:ascii="仿宋_GB2312" w:eastAsia="仿宋_GB2312"/>
          <w:color w:val="auto"/>
          <w:sz w:val="32"/>
          <w:szCs w:val="32"/>
        </w:rPr>
        <w:t>2、沾溪镇烟花爆竹禁放区域示意图</w:t>
      </w:r>
    </w:p>
    <w:p>
      <w:pPr>
        <w:spacing w:line="520" w:lineRule="exact"/>
        <w:ind w:firstLine="640" w:firstLineChars="200"/>
        <w:jc w:val="left"/>
        <w:rPr>
          <w:rFonts w:ascii="仿宋_GB2312" w:eastAsia="仿宋_GB2312"/>
          <w:color w:val="auto"/>
          <w:sz w:val="32"/>
          <w:szCs w:val="32"/>
        </w:rPr>
      </w:pPr>
    </w:p>
    <w:p>
      <w:pPr>
        <w:spacing w:line="520" w:lineRule="exact"/>
        <w:ind w:firstLine="640" w:firstLineChars="200"/>
        <w:jc w:val="right"/>
        <w:rPr>
          <w:rFonts w:ascii="仿宋_GB2312" w:eastAsia="仿宋_GB2312"/>
          <w:color w:val="auto"/>
          <w:sz w:val="32"/>
          <w:szCs w:val="32"/>
        </w:rPr>
      </w:pPr>
    </w:p>
    <w:p>
      <w:pPr>
        <w:spacing w:line="520" w:lineRule="exact"/>
        <w:ind w:firstLine="640" w:firstLineChars="200"/>
        <w:jc w:val="right"/>
        <w:rPr>
          <w:rFonts w:ascii="仿宋_GB2312" w:eastAsia="仿宋_GB2312"/>
          <w:color w:val="auto"/>
          <w:sz w:val="32"/>
          <w:szCs w:val="32"/>
        </w:rPr>
      </w:pPr>
      <w:r>
        <w:rPr>
          <w:rFonts w:hint="eastAsia" w:ascii="仿宋_GB2312" w:eastAsia="仿宋_GB2312"/>
          <w:color w:val="auto"/>
          <w:sz w:val="32"/>
          <w:szCs w:val="32"/>
        </w:rPr>
        <w:t xml:space="preserve">桃江县人民政府　　　　　 </w:t>
      </w:r>
    </w:p>
    <w:p>
      <w:pPr>
        <w:spacing w:line="520" w:lineRule="exact"/>
        <w:ind w:firstLine="640" w:firstLineChars="200"/>
        <w:jc w:val="right"/>
        <w:rPr>
          <w:rFonts w:ascii="仿宋_GB2312" w:eastAsia="仿宋_GB2312"/>
          <w:color w:val="auto"/>
          <w:sz w:val="32"/>
          <w:szCs w:val="32"/>
        </w:rPr>
      </w:pPr>
      <w:r>
        <w:rPr>
          <w:rFonts w:hint="eastAsia" w:ascii="仿宋_GB2312" w:eastAsia="仿宋_GB2312"/>
          <w:color w:val="auto"/>
          <w:sz w:val="32"/>
          <w:szCs w:val="32"/>
        </w:rPr>
        <w:t>2025年  月  日</w:t>
      </w:r>
    </w:p>
    <w:p>
      <w:pPr>
        <w:spacing w:line="520" w:lineRule="exact"/>
        <w:ind w:firstLine="640" w:firstLineChars="200"/>
        <w:jc w:val="right"/>
        <w:rPr>
          <w:rFonts w:ascii="仿宋_GB2312" w:eastAsia="仿宋_GB2312"/>
          <w:color w:val="auto"/>
          <w:sz w:val="32"/>
          <w:szCs w:val="32"/>
        </w:rPr>
      </w:pPr>
    </w:p>
    <w:p>
      <w:pPr>
        <w:rPr>
          <w:color w:val="auto"/>
        </w:rPr>
      </w:pPr>
      <w:r>
        <w:rPr>
          <w:color w:val="auto"/>
        </w:rPr>
        <w:br w:type="page"/>
      </w:r>
      <w:bookmarkStart w:id="0" w:name="_GoBack"/>
      <w:bookmarkEnd w:id="0"/>
    </w:p>
    <w:p>
      <w:pPr>
        <w:rPr>
          <w:rFonts w:hint="eastAsia" w:eastAsiaTheme="minorEastAsia"/>
          <w:color w:val="auto"/>
          <w:lang w:eastAsia="zh-CN"/>
        </w:rPr>
      </w:pPr>
      <w:r>
        <w:rPr>
          <w:rFonts w:hint="eastAsia" w:eastAsiaTheme="minorEastAsia"/>
          <w:color w:val="auto"/>
          <w:lang w:eastAsia="zh-CN"/>
        </w:rPr>
        <w:drawing>
          <wp:inline distT="0" distB="0" distL="114300" distR="114300">
            <wp:extent cx="5272405" cy="6898005"/>
            <wp:effectExtent l="0" t="0" r="635" b="5715"/>
            <wp:docPr id="2" name="图片 2" descr="ae93c4141eb38372f199a1e41f37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e93c4141eb38372f199a1e41f370847"/>
                    <pic:cNvPicPr>
                      <a:picLocks noChangeAspect="1"/>
                    </pic:cNvPicPr>
                  </pic:nvPicPr>
                  <pic:blipFill>
                    <a:blip r:embed="rId10"/>
                    <a:stretch>
                      <a:fillRect/>
                    </a:stretch>
                  </pic:blipFill>
                  <pic:spPr>
                    <a:xfrm>
                      <a:off x="0" y="0"/>
                      <a:ext cx="5272405" cy="6898005"/>
                    </a:xfrm>
                    <a:prstGeom prst="rect">
                      <a:avLst/>
                    </a:prstGeom>
                  </pic:spPr>
                </pic:pic>
              </a:graphicData>
            </a:graphic>
          </wp:inline>
        </w:drawing>
      </w:r>
      <w:r>
        <w:rPr>
          <w:rFonts w:hint="eastAsia" w:eastAsiaTheme="minorEastAsia"/>
          <w:color w:val="auto"/>
          <w:lang w:eastAsia="zh-CN"/>
        </w:rPr>
        <w:drawing>
          <wp:inline distT="0" distB="0" distL="114300" distR="114300">
            <wp:extent cx="5272405" cy="6898005"/>
            <wp:effectExtent l="0" t="0" r="635" b="5715"/>
            <wp:docPr id="1" name="图片 1" descr="ff167b144c2ce8eab2f0b3dad76c9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f167b144c2ce8eab2f0b3dad76c9eae"/>
                    <pic:cNvPicPr>
                      <a:picLocks noChangeAspect="1"/>
                    </pic:cNvPicPr>
                  </pic:nvPicPr>
                  <pic:blipFill>
                    <a:blip r:embed="rId11"/>
                    <a:stretch>
                      <a:fillRect/>
                    </a:stretch>
                  </pic:blipFill>
                  <pic:spPr>
                    <a:xfrm>
                      <a:off x="0" y="0"/>
                      <a:ext cx="5272405" cy="6898005"/>
                    </a:xfrm>
                    <a:prstGeom prst="rect">
                      <a:avLst/>
                    </a:prstGeom>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yNzI5ZWIyMzllYTllNjRmOTlhNjQzMTQwMjNjZGQifQ=="/>
  </w:docVars>
  <w:rsids>
    <w:rsidRoot w:val="1CE525AC"/>
    <w:rsid w:val="1CE525AC"/>
    <w:rsid w:val="35FE25CB"/>
    <w:rsid w:val="48135E4C"/>
    <w:rsid w:val="67CE3F3C"/>
    <w:rsid w:val="774C58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semiHidden/>
    <w:unhideWhenUsed/>
    <w:qFormat/>
    <w:uiPriority w:val="99"/>
    <w:pPr>
      <w:tabs>
        <w:tab w:val="center" w:pos="4153"/>
        <w:tab w:val="right" w:pos="8306"/>
      </w:tabs>
      <w:snapToGrid w:val="0"/>
      <w:jc w:val="left"/>
    </w:pPr>
    <w:rPr>
      <w:sz w:val="18"/>
      <w:szCs w:val="18"/>
    </w:rPr>
  </w:style>
  <w:style w:type="paragraph" w:styleId="3">
    <w:name w:val="header"/>
    <w:basedOn w:val="1"/>
    <w:semiHidden/>
    <w:unhideWhenUsed/>
    <w:qFormat/>
    <w:uiPriority w:val="99"/>
    <w:pPr>
      <w:pBdr>
        <w:bottom w:val="single" w:color="auto" w:sz="6" w:space="1"/>
      </w:pBdr>
      <w:tabs>
        <w:tab w:val="center" w:pos="4153"/>
        <w:tab w:val="right" w:pos="8306"/>
      </w:tabs>
      <w:snapToGrid w:val="0"/>
      <w:jc w:val="center"/>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1679</Words>
  <Characters>1704</Characters>
  <Lines>0</Lines>
  <Paragraphs>0</Paragraphs>
  <TotalTime>1</TotalTime>
  <ScaleCrop>false</ScaleCrop>
  <LinksUpToDate>false</LinksUpToDate>
  <CharactersWithSpaces>1714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2025-12-15T07:09:00Z</dcterms:created>
  <dc:creator>18569439834</dc:creator>
  <cp:lastModifiedBy>IH</cp:lastModifiedBy>
  <cp:lastPrinted>2025-12-15T07:16:00Z</cp:lastPrinted>
  <dcterms:modified xsi:type="dcterms:W3CDTF">2025-12-16T06:50:06Z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9F108AB3BC8B462294A7433A9C39A7EF_13</vt:lpwstr>
  </property>
  <property fmtid="{D5CDD505-2E9C-101B-9397-08002B2CF9AE}" pid="4" name="KSOTemplateDocerSaveRecord">
    <vt:lpwstr>eyJoZGlkIjoiN2M3Nzk4MGIxZjQ0MTM2M2E4ZGVjYWY5NzcxODViNmUiLCJ1c2VySWQiOiIzMTY3ODA4NzEifQ==</vt:lpwstr>
  </property>
</Properties>
</file>